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E520A7" w14:textId="5C05B627" w:rsidR="00D01D59" w:rsidRDefault="000F333F">
      <w:pPr>
        <w:rPr>
          <w:lang w:val="el-GR"/>
        </w:rPr>
      </w:pPr>
      <w:r>
        <w:rPr>
          <w:lang w:val="el-GR"/>
        </w:rPr>
        <w:t>Προς:</w:t>
      </w:r>
    </w:p>
    <w:p w14:paraId="799F0893" w14:textId="42D84995" w:rsidR="000F333F" w:rsidRDefault="000F333F">
      <w:pPr>
        <w:rPr>
          <w:lang w:val="el-GR"/>
        </w:rPr>
      </w:pPr>
      <w:r>
        <w:rPr>
          <w:lang w:val="el-GR"/>
        </w:rPr>
        <w:t>Τον Υπουργό Μετανάστευσης και Ασύλου, κ. Νικόλαο Παναγιωτόπουλο</w:t>
      </w:r>
    </w:p>
    <w:p w14:paraId="4F04CC49" w14:textId="77777777" w:rsidR="000F333F" w:rsidRDefault="000F333F">
      <w:pPr>
        <w:rPr>
          <w:lang w:val="el-GR"/>
        </w:rPr>
      </w:pPr>
    </w:p>
    <w:p w14:paraId="47CFBE6B" w14:textId="3088A0C8" w:rsidR="000F333F" w:rsidRDefault="000F333F">
      <w:pPr>
        <w:rPr>
          <w:lang w:val="el-GR"/>
        </w:rPr>
      </w:pPr>
      <w:r>
        <w:rPr>
          <w:lang w:val="el-GR"/>
        </w:rPr>
        <w:t>Κοινοποίηση:</w:t>
      </w:r>
    </w:p>
    <w:p w14:paraId="2C73D881" w14:textId="3E0AAEEB" w:rsidR="000F333F" w:rsidRPr="000F333F" w:rsidRDefault="000F333F">
      <w:pPr>
        <w:rPr>
          <w:lang w:val="el-GR"/>
        </w:rPr>
      </w:pPr>
      <w:r w:rsidRPr="000F333F">
        <w:rPr>
          <w:lang w:val="el-GR"/>
        </w:rPr>
        <w:t>κ. Εμμανουήλ Λογοθέτη, Γενικό Γραμματέα Μεταναστευτικής Πολιτικής</w:t>
      </w:r>
      <w:r w:rsidR="003E0743">
        <w:rPr>
          <w:lang w:val="el-GR"/>
        </w:rPr>
        <w:t xml:space="preserve"> [με παράκληση για τη διανομή της παρούσας στα μέλη της Ομάδας Εργασίας για την εφαρμογή, τον επιχειρησιακό σχεδιασμό και την υλοποίηση του Συμφώνου για τη Μετανάστευση και το Άσυλο]</w:t>
      </w:r>
    </w:p>
    <w:p w14:paraId="3E82A719" w14:textId="1FC44B74" w:rsidR="000F333F" w:rsidRPr="000F333F" w:rsidRDefault="000F333F">
      <w:pPr>
        <w:rPr>
          <w:rFonts w:eastAsia="Arial" w:cs="Arial"/>
          <w:lang w:val="el-GR"/>
        </w:rPr>
      </w:pPr>
      <w:r w:rsidRPr="000F333F">
        <w:rPr>
          <w:lang w:val="el-GR"/>
        </w:rPr>
        <w:t xml:space="preserve">κ. Αριστείδη Ψαρρά, </w:t>
      </w:r>
      <w:r w:rsidRPr="000F333F">
        <w:rPr>
          <w:rFonts w:eastAsia="Arial" w:cs="Arial"/>
          <w:lang w:val="el-GR"/>
        </w:rPr>
        <w:t>Επικεφαλής Τομέα Διαχείρισης Μετανάστευσης για την Ελλάδα, Ευρωπαϊκή Επιτροπή</w:t>
      </w:r>
    </w:p>
    <w:p w14:paraId="3D4EBDD2" w14:textId="77777777" w:rsidR="000F333F" w:rsidRPr="000F333F" w:rsidRDefault="000F333F" w:rsidP="000F333F">
      <w:pPr>
        <w:jc w:val="both"/>
        <w:rPr>
          <w:rFonts w:eastAsia="Arial" w:cs="Arial"/>
          <w:lang w:val="el-GR"/>
        </w:rPr>
      </w:pPr>
      <w:r w:rsidRPr="000F333F">
        <w:rPr>
          <w:rFonts w:eastAsia="Arial" w:cs="Arial"/>
          <w:lang w:val="el-GR"/>
        </w:rPr>
        <w:t>κ. Jette Christiansen, Προϊσταμένη Τομέα Ελλάδας, Ευρωπαϊκός Οργανισμός για το Άσυλο (EUAA)</w:t>
      </w:r>
    </w:p>
    <w:p w14:paraId="10D4EFD1" w14:textId="77777777" w:rsidR="000F333F" w:rsidRPr="000F333F" w:rsidRDefault="000F333F" w:rsidP="000F333F">
      <w:pPr>
        <w:jc w:val="both"/>
        <w:rPr>
          <w:rFonts w:eastAsia="Arial" w:cs="Arial"/>
          <w:lang w:val="el-GR"/>
        </w:rPr>
      </w:pPr>
      <w:r w:rsidRPr="000F333F">
        <w:rPr>
          <w:rFonts w:eastAsia="Arial" w:cs="Arial"/>
          <w:lang w:val="el-GR"/>
        </w:rPr>
        <w:t>κ. Maria Clara Martin, Εκπρόσωπο της Ύπατης Αρμοστείας του ΟΗΕ για τους Πρόσφυγες στην Ελλάδα</w:t>
      </w:r>
    </w:p>
    <w:p w14:paraId="418BA14B" w14:textId="77777777" w:rsidR="000F333F" w:rsidRPr="000F333F" w:rsidRDefault="000F333F" w:rsidP="000F333F">
      <w:pPr>
        <w:jc w:val="both"/>
        <w:rPr>
          <w:rFonts w:eastAsia="Arial" w:cs="Arial"/>
          <w:lang w:val="el-GR"/>
        </w:rPr>
      </w:pPr>
      <w:r w:rsidRPr="000F333F">
        <w:rPr>
          <w:rFonts w:eastAsia="Arial" w:cs="Arial"/>
          <w:lang w:val="el-GR"/>
        </w:rPr>
        <w:t>κ. Μαρία Γαβουνέλη, Προέδρο Εθνικής Επιτροπής για τα Δικαιώματα του Ανθρώπου</w:t>
      </w:r>
    </w:p>
    <w:p w14:paraId="3E015F52" w14:textId="24B79CA1" w:rsidR="000F333F" w:rsidRPr="000F333F" w:rsidRDefault="000F333F" w:rsidP="000F333F">
      <w:pPr>
        <w:rPr>
          <w:lang w:val="el-GR"/>
        </w:rPr>
      </w:pPr>
      <w:r w:rsidRPr="000F333F">
        <w:rPr>
          <w:rFonts w:eastAsia="Arial" w:cs="Arial"/>
          <w:lang w:val="el-GR"/>
        </w:rPr>
        <w:t>κ. Δημήτριο Βερβεσό, Πρόεδρο Ολομέλειας Δικηγορικών Συλλόγων</w:t>
      </w:r>
    </w:p>
    <w:p w14:paraId="7D2FF746" w14:textId="77777777" w:rsidR="000F333F" w:rsidRDefault="000F333F">
      <w:pPr>
        <w:rPr>
          <w:lang w:val="el-GR"/>
        </w:rPr>
      </w:pPr>
    </w:p>
    <w:p w14:paraId="352015C6" w14:textId="77777777" w:rsidR="000F333F" w:rsidRDefault="000F333F">
      <w:pPr>
        <w:rPr>
          <w:lang w:val="el-GR"/>
        </w:rPr>
      </w:pPr>
    </w:p>
    <w:p w14:paraId="098FF4EB" w14:textId="03FAB88C" w:rsidR="000F333F" w:rsidRDefault="000F333F" w:rsidP="000F333F">
      <w:pPr>
        <w:jc w:val="right"/>
        <w:rPr>
          <w:lang w:val="el-GR"/>
        </w:rPr>
      </w:pPr>
      <w:r>
        <w:rPr>
          <w:lang w:val="el-GR"/>
        </w:rPr>
        <w:t>Αθήνα, 20 Σεπτεμβρίου 2024</w:t>
      </w:r>
    </w:p>
    <w:p w14:paraId="7974908C" w14:textId="4D2B71A3" w:rsidR="000F333F" w:rsidRDefault="000F333F" w:rsidP="000F333F">
      <w:pPr>
        <w:jc w:val="right"/>
        <w:rPr>
          <w:lang w:val="el-GR"/>
        </w:rPr>
      </w:pPr>
      <w:r>
        <w:rPr>
          <w:lang w:val="el-GR"/>
        </w:rPr>
        <w:t>Αρ. πρωτ.:</w:t>
      </w:r>
    </w:p>
    <w:p w14:paraId="5AF78825" w14:textId="77777777" w:rsidR="000F333F" w:rsidRDefault="000F333F" w:rsidP="000F333F">
      <w:pPr>
        <w:jc w:val="both"/>
        <w:rPr>
          <w:lang w:val="el-GR"/>
        </w:rPr>
      </w:pPr>
    </w:p>
    <w:p w14:paraId="5401013A" w14:textId="25C03BA8" w:rsidR="000F333F" w:rsidRDefault="000F333F" w:rsidP="000F333F">
      <w:pPr>
        <w:jc w:val="both"/>
        <w:rPr>
          <w:b/>
          <w:bCs/>
          <w:lang w:val="el-GR"/>
        </w:rPr>
      </w:pPr>
      <w:r>
        <w:rPr>
          <w:b/>
          <w:bCs/>
          <w:lang w:val="el-GR"/>
        </w:rPr>
        <w:t>Θέμα: Εφαρμογή του Νέου Συμφώνου για τη Μετανάστευση και το Άσυλο</w:t>
      </w:r>
    </w:p>
    <w:p w14:paraId="2EB67C56" w14:textId="77777777" w:rsidR="000F333F" w:rsidRDefault="000F333F" w:rsidP="000F333F">
      <w:pPr>
        <w:jc w:val="both"/>
        <w:rPr>
          <w:lang w:val="el-GR"/>
        </w:rPr>
      </w:pPr>
    </w:p>
    <w:p w14:paraId="5FE5F8A2" w14:textId="77777777" w:rsidR="000F333F" w:rsidRDefault="000F333F" w:rsidP="000F333F">
      <w:pPr>
        <w:jc w:val="both"/>
        <w:rPr>
          <w:lang w:val="el-GR"/>
        </w:rPr>
      </w:pPr>
    </w:p>
    <w:p w14:paraId="2D1D80E7" w14:textId="5D005EFC" w:rsidR="000F333F" w:rsidRDefault="000F333F" w:rsidP="000F333F">
      <w:pPr>
        <w:jc w:val="both"/>
        <w:rPr>
          <w:lang w:val="el-GR"/>
        </w:rPr>
      </w:pPr>
      <w:r>
        <w:rPr>
          <w:lang w:val="el-GR"/>
        </w:rPr>
        <w:t>Αξιότιμε κύριε Υπουργέ,</w:t>
      </w:r>
    </w:p>
    <w:p w14:paraId="1A783D05" w14:textId="77777777" w:rsidR="000F333F" w:rsidRDefault="000F333F" w:rsidP="000F333F">
      <w:pPr>
        <w:jc w:val="both"/>
        <w:rPr>
          <w:lang w:val="el-GR"/>
        </w:rPr>
      </w:pPr>
    </w:p>
    <w:p w14:paraId="44E0DF0F" w14:textId="3FAC3CCC" w:rsidR="007467BD" w:rsidRPr="005E764A" w:rsidRDefault="005C1E9B" w:rsidP="000F333F">
      <w:pPr>
        <w:jc w:val="both"/>
        <w:rPr>
          <w:rFonts w:eastAsia="Arial" w:cs="Arial"/>
          <w:lang w:val="el-GR"/>
        </w:rPr>
      </w:pPr>
      <w:r>
        <w:rPr>
          <w:rFonts w:eastAsia="Arial" w:cs="Arial"/>
          <w:lang w:val="el-GR"/>
        </w:rPr>
        <w:t>Κατόπιν</w:t>
      </w:r>
      <w:r w:rsidR="00F8657F">
        <w:rPr>
          <w:rFonts w:eastAsia="Arial" w:cs="Arial"/>
          <w:lang w:val="el-GR"/>
        </w:rPr>
        <w:t xml:space="preserve"> της</w:t>
      </w:r>
      <w:r w:rsidR="00AF775A">
        <w:rPr>
          <w:rFonts w:eastAsia="Arial" w:cs="Arial"/>
          <w:lang w:val="el-GR"/>
        </w:rPr>
        <w:t xml:space="preserve"> εκ βάθρων τροποποίηση</w:t>
      </w:r>
      <w:r w:rsidR="00F8657F">
        <w:rPr>
          <w:rFonts w:eastAsia="Arial" w:cs="Arial"/>
          <w:lang w:val="el-GR"/>
        </w:rPr>
        <w:t>ς</w:t>
      </w:r>
      <w:r w:rsidR="00AF775A">
        <w:rPr>
          <w:rFonts w:eastAsia="Arial" w:cs="Arial"/>
          <w:lang w:val="el-GR"/>
        </w:rPr>
        <w:t xml:space="preserve"> του Κοινού Ευρωπαϊκού Συστήματος Ασύλου (ΚΕΣΑ)</w:t>
      </w:r>
      <w:r w:rsidR="00703BCB">
        <w:rPr>
          <w:rFonts w:eastAsia="Arial" w:cs="Arial"/>
          <w:lang w:val="el-GR"/>
        </w:rPr>
        <w:t xml:space="preserve"> που </w:t>
      </w:r>
      <w:r w:rsidR="00F8657F">
        <w:rPr>
          <w:rFonts w:eastAsia="Arial" w:cs="Arial"/>
          <w:lang w:val="el-GR"/>
        </w:rPr>
        <w:t>επέφερε</w:t>
      </w:r>
      <w:r w:rsidR="00703BCB">
        <w:rPr>
          <w:rFonts w:eastAsia="Arial" w:cs="Arial"/>
          <w:lang w:val="el-GR"/>
        </w:rPr>
        <w:t xml:space="preserve"> η </w:t>
      </w:r>
      <w:r w:rsidR="00F8657F">
        <w:rPr>
          <w:rFonts w:eastAsia="Arial" w:cs="Arial"/>
          <w:lang w:val="el-GR"/>
        </w:rPr>
        <w:t xml:space="preserve">από 22-05-2024 </w:t>
      </w:r>
      <w:r w:rsidR="00703BCB">
        <w:rPr>
          <w:rFonts w:eastAsia="Arial" w:cs="Arial"/>
          <w:lang w:val="el-GR"/>
        </w:rPr>
        <w:t xml:space="preserve">ψήφιση </w:t>
      </w:r>
      <w:r w:rsidR="00CD0DE4">
        <w:rPr>
          <w:rFonts w:eastAsia="Arial" w:cs="Arial"/>
          <w:lang w:val="el-GR"/>
        </w:rPr>
        <w:t xml:space="preserve">των νομοθετικών κειμένων </w:t>
      </w:r>
      <w:r w:rsidR="00703BCB">
        <w:rPr>
          <w:rFonts w:eastAsia="Arial" w:cs="Arial"/>
          <w:lang w:val="el-GR"/>
        </w:rPr>
        <w:t>του Νέου Συμφώνου για τη Μετανάστευση και το Άσυλο,</w:t>
      </w:r>
      <w:r w:rsidR="00A00E65">
        <w:rPr>
          <w:rStyle w:val="FootnoteReference"/>
          <w:rFonts w:eastAsia="Arial" w:cs="Arial"/>
          <w:lang w:val="el-GR"/>
        </w:rPr>
        <w:footnoteReference w:id="1"/>
      </w:r>
      <w:r w:rsidR="00F47849">
        <w:rPr>
          <w:rFonts w:eastAsia="Arial" w:cs="Arial"/>
          <w:lang w:val="el-GR"/>
        </w:rPr>
        <w:t xml:space="preserve"> οι νομικές οργανώσεις </w:t>
      </w:r>
      <w:r w:rsidR="00F47849" w:rsidRPr="000F333F">
        <w:rPr>
          <w:rFonts w:eastAsia="Arial" w:cs="Arial"/>
          <w:lang w:val="el-GR"/>
        </w:rPr>
        <w:t>της Ομάδας Εργασίας για τη Νομική Υποστήριξη (Legal Aid Working Group), οι οποίες δραστηριοποποιούνται στον τομέα του ασύλου</w:t>
      </w:r>
      <w:r w:rsidR="00896981">
        <w:rPr>
          <w:rFonts w:eastAsia="Arial" w:cs="Arial"/>
          <w:lang w:val="el-GR"/>
        </w:rPr>
        <w:t>,</w:t>
      </w:r>
      <w:r w:rsidR="00B25C7D">
        <w:rPr>
          <w:rFonts w:eastAsia="Arial" w:cs="Arial"/>
          <w:lang w:val="el-GR"/>
        </w:rPr>
        <w:t xml:space="preserve"> εφιστούμε την προσοχή σας στην ανάγκη</w:t>
      </w:r>
      <w:r w:rsidR="005E764A">
        <w:rPr>
          <w:rFonts w:eastAsia="Arial" w:cs="Arial"/>
          <w:lang w:val="el-GR"/>
        </w:rPr>
        <w:t xml:space="preserve"> </w:t>
      </w:r>
      <w:r w:rsidR="00B25C7D">
        <w:rPr>
          <w:rFonts w:eastAsia="Arial" w:cs="Arial"/>
          <w:lang w:val="el-GR"/>
        </w:rPr>
        <w:t>ενδελεχούς</w:t>
      </w:r>
      <w:r w:rsidR="002E5343">
        <w:rPr>
          <w:rFonts w:eastAsia="Arial" w:cs="Arial"/>
          <w:lang w:val="el-GR"/>
        </w:rPr>
        <w:t xml:space="preserve"> </w:t>
      </w:r>
      <w:r w:rsidR="00B25C7D">
        <w:rPr>
          <w:rFonts w:eastAsia="Arial" w:cs="Arial"/>
          <w:lang w:val="el-GR"/>
        </w:rPr>
        <w:t>εξέτασης</w:t>
      </w:r>
      <w:r w:rsidR="002E5343">
        <w:rPr>
          <w:rFonts w:eastAsia="Arial" w:cs="Arial"/>
          <w:lang w:val="el-GR"/>
        </w:rPr>
        <w:t xml:space="preserve"> </w:t>
      </w:r>
      <w:r w:rsidR="001F1A51">
        <w:rPr>
          <w:rFonts w:eastAsia="Arial" w:cs="Arial"/>
          <w:lang w:val="el-GR"/>
        </w:rPr>
        <w:t xml:space="preserve">των </w:t>
      </w:r>
      <w:r w:rsidR="002E5343">
        <w:rPr>
          <w:rFonts w:eastAsia="Arial" w:cs="Arial"/>
          <w:lang w:val="el-GR"/>
        </w:rPr>
        <w:t xml:space="preserve">επιπτώσεων </w:t>
      </w:r>
      <w:r w:rsidR="00E100AC">
        <w:rPr>
          <w:rFonts w:eastAsia="Arial" w:cs="Arial"/>
          <w:lang w:val="el-GR"/>
        </w:rPr>
        <w:t xml:space="preserve">των νέων ενωσιακών ρυθμίσεων </w:t>
      </w:r>
      <w:r w:rsidR="002F2DBD">
        <w:rPr>
          <w:rFonts w:eastAsia="Arial" w:cs="Arial"/>
          <w:lang w:val="el-GR"/>
        </w:rPr>
        <w:t xml:space="preserve">που θα τύχουν εφαρμογής από </w:t>
      </w:r>
      <w:r w:rsidR="00A33F4A">
        <w:rPr>
          <w:rFonts w:eastAsia="Arial" w:cs="Arial"/>
          <w:lang w:val="el-GR"/>
        </w:rPr>
        <w:t>το 2026</w:t>
      </w:r>
      <w:r w:rsidR="002F2DBD">
        <w:rPr>
          <w:rFonts w:eastAsia="Arial" w:cs="Arial"/>
          <w:lang w:val="el-GR"/>
        </w:rPr>
        <w:t xml:space="preserve"> </w:t>
      </w:r>
      <w:r w:rsidR="007A5766">
        <w:rPr>
          <w:rFonts w:eastAsia="Arial" w:cs="Arial"/>
          <w:lang w:val="el-GR"/>
        </w:rPr>
        <w:t xml:space="preserve">στο ελληνικό σύστημα ασύλου, </w:t>
      </w:r>
      <w:r w:rsidR="00B378A4">
        <w:rPr>
          <w:rFonts w:eastAsia="Arial" w:cs="Arial"/>
          <w:lang w:val="el-GR"/>
        </w:rPr>
        <w:t xml:space="preserve">με έμφαση </w:t>
      </w:r>
      <w:r w:rsidR="007B05C3">
        <w:rPr>
          <w:rFonts w:eastAsia="Arial" w:cs="Arial"/>
          <w:lang w:val="el-GR"/>
        </w:rPr>
        <w:t>στα νομικά και πρακτικά ζητήματα</w:t>
      </w:r>
      <w:r w:rsidR="003602EF">
        <w:rPr>
          <w:rFonts w:eastAsia="Arial" w:cs="Arial"/>
          <w:lang w:val="el-GR"/>
        </w:rPr>
        <w:t xml:space="preserve"> που ανακύπτουν, μεταξύ άλλων, σε σχέση με:</w:t>
      </w:r>
      <w:r w:rsidR="00965F09">
        <w:rPr>
          <w:rStyle w:val="FootnoteReference"/>
          <w:rFonts w:eastAsia="Arial" w:cs="Arial"/>
          <w:lang w:val="el-GR"/>
        </w:rPr>
        <w:footnoteReference w:id="2"/>
      </w:r>
    </w:p>
    <w:p w14:paraId="770F0FEF" w14:textId="77777777" w:rsidR="00393961" w:rsidRPr="005C6871" w:rsidRDefault="00393961" w:rsidP="005C6871">
      <w:pPr>
        <w:jc w:val="both"/>
        <w:rPr>
          <w:lang w:val="el-GR"/>
        </w:rPr>
      </w:pPr>
      <w:bookmarkStart w:id="0" w:name="_Hlk171437450"/>
    </w:p>
    <w:p w14:paraId="7344F471" w14:textId="77777777" w:rsidR="005C6871" w:rsidRDefault="005C6871" w:rsidP="005C6871">
      <w:pPr>
        <w:ind w:left="720" w:hanging="720"/>
        <w:jc w:val="both"/>
        <w:rPr>
          <w:lang w:val="el-GR"/>
        </w:rPr>
      </w:pPr>
      <w:r>
        <w:rPr>
          <w:lang w:val="el-GR"/>
        </w:rPr>
        <w:t>(α)</w:t>
      </w:r>
      <w:r>
        <w:rPr>
          <w:lang w:val="el-GR"/>
        </w:rPr>
        <w:tab/>
      </w:r>
      <w:r w:rsidR="008E75B5" w:rsidRPr="005C6871">
        <w:rPr>
          <w:lang w:val="el-GR"/>
        </w:rPr>
        <w:t xml:space="preserve">Το νεοσύστατο θεσμό της δωρεάν νομικής καθοδήγησης σε αιτούντες άσυλο σε α΄ βαθμό, </w:t>
      </w:r>
      <w:r w:rsidR="00264E46" w:rsidRPr="005C6871">
        <w:rPr>
          <w:lang w:val="el-GR"/>
        </w:rPr>
        <w:t>όπου συμπεριλαμβάν</w:t>
      </w:r>
      <w:r w:rsidR="00B3731E" w:rsidRPr="005C6871">
        <w:rPr>
          <w:lang w:val="el-GR"/>
        </w:rPr>
        <w:t xml:space="preserve">ονται, μεταξύ άλλων, </w:t>
      </w:r>
      <w:r w:rsidR="00186733" w:rsidRPr="005C6871">
        <w:rPr>
          <w:lang w:val="el-GR"/>
        </w:rPr>
        <w:t>η συνδρομή στην κατάθεση της αίτησης διεθνούς προστασίας και η καθοδήγηση σε νομικά ζητήματα που ανακύπτουν στη διαδικασία.</w:t>
      </w:r>
    </w:p>
    <w:p w14:paraId="5CAC4B4A" w14:textId="77777777" w:rsidR="005C6871" w:rsidRDefault="005C6871" w:rsidP="005C6871">
      <w:pPr>
        <w:ind w:left="720" w:hanging="720"/>
        <w:jc w:val="both"/>
        <w:rPr>
          <w:lang w:val="el-GR"/>
        </w:rPr>
      </w:pPr>
    </w:p>
    <w:p w14:paraId="55153021" w14:textId="2902C5B9" w:rsidR="005C6871" w:rsidRDefault="005C6871" w:rsidP="005C6871">
      <w:pPr>
        <w:ind w:left="720" w:hanging="720"/>
        <w:jc w:val="both"/>
        <w:rPr>
          <w:lang w:val="el-GR"/>
        </w:rPr>
      </w:pPr>
      <w:r>
        <w:rPr>
          <w:lang w:val="el-GR"/>
        </w:rPr>
        <w:t>(β)</w:t>
      </w:r>
      <w:r>
        <w:rPr>
          <w:lang w:val="el-GR"/>
        </w:rPr>
        <w:tab/>
      </w:r>
      <w:r w:rsidR="00D177DA" w:rsidRPr="005C6871">
        <w:rPr>
          <w:lang w:val="el-GR"/>
        </w:rPr>
        <w:t>Τη</w:t>
      </w:r>
      <w:r w:rsidR="00AF775A" w:rsidRPr="005C6871">
        <w:rPr>
          <w:lang w:val="el-GR"/>
        </w:rPr>
        <w:t xml:space="preserve"> διεύρυνση </w:t>
      </w:r>
      <w:r w:rsidR="00D177DA" w:rsidRPr="005C6871">
        <w:rPr>
          <w:lang w:val="el-GR"/>
        </w:rPr>
        <w:t xml:space="preserve">των λόγων απαραδέκτου </w:t>
      </w:r>
      <w:r w:rsidR="009828F8">
        <w:rPr>
          <w:lang w:val="el-GR"/>
        </w:rPr>
        <w:t>των αιτήσεων</w:t>
      </w:r>
      <w:r w:rsidR="00AF775A" w:rsidRPr="005C6871">
        <w:rPr>
          <w:lang w:val="el-GR"/>
        </w:rPr>
        <w:t xml:space="preserve"> ασύλου</w:t>
      </w:r>
      <w:r w:rsidR="00D177DA" w:rsidRPr="005C6871">
        <w:rPr>
          <w:lang w:val="el-GR"/>
        </w:rPr>
        <w:t xml:space="preserve"> </w:t>
      </w:r>
      <w:r w:rsidR="00AF775A" w:rsidRPr="005C6871">
        <w:rPr>
          <w:lang w:val="el-GR"/>
        </w:rPr>
        <w:t xml:space="preserve">και δη με βάση την έννοια της «ασφαλούς τρίτης χώρας», της οποίας ο ορισμός υφίσταται πολυδιάστατη διεύρυνση, αλλά και αποδυνάμωση των σχετικών εγγυήσεων, καθώς και με νέο λόγο απαραδέκτου ο οποίος, υπό τα τρέχοντα δεδομένα της </w:t>
      </w:r>
      <w:r w:rsidR="00D177DA" w:rsidRPr="005C6871">
        <w:rPr>
          <w:lang w:val="el-GR"/>
        </w:rPr>
        <w:t>συστηματικής έκδοσης</w:t>
      </w:r>
      <w:r w:rsidR="00AF775A" w:rsidRPr="005C6871">
        <w:rPr>
          <w:lang w:val="el-GR"/>
        </w:rPr>
        <w:t xml:space="preserve"> </w:t>
      </w:r>
      <w:r w:rsidR="00D177DA" w:rsidRPr="005C6871">
        <w:rPr>
          <w:lang w:val="el-GR"/>
        </w:rPr>
        <w:t xml:space="preserve">αποφάσεων </w:t>
      </w:r>
      <w:r w:rsidR="00AF775A" w:rsidRPr="005C6871">
        <w:rPr>
          <w:lang w:val="el-GR"/>
        </w:rPr>
        <w:t xml:space="preserve">επιστροφής σε βάρος νέων αφίξεων, </w:t>
      </w:r>
      <w:r w:rsidR="00481A8D">
        <w:rPr>
          <w:lang w:val="el-GR"/>
        </w:rPr>
        <w:t>κινδυνεύει</w:t>
      </w:r>
      <w:r w:rsidR="00AF775A" w:rsidRPr="005C6871">
        <w:rPr>
          <w:lang w:val="el-GR"/>
        </w:rPr>
        <w:t xml:space="preserve"> να οδηγήσει σε άδικη άρνηση </w:t>
      </w:r>
      <w:r w:rsidR="00563170">
        <w:rPr>
          <w:lang w:val="el-GR"/>
        </w:rPr>
        <w:t xml:space="preserve">της </w:t>
      </w:r>
      <w:r w:rsidR="00AF775A" w:rsidRPr="005C6871">
        <w:rPr>
          <w:lang w:val="el-GR"/>
        </w:rPr>
        <w:t xml:space="preserve">πρόσβασης </w:t>
      </w:r>
      <w:r w:rsidR="00563170">
        <w:rPr>
          <w:lang w:val="el-GR"/>
        </w:rPr>
        <w:t xml:space="preserve">των νεοαφικνούμενων προσφύγων </w:t>
      </w:r>
      <w:r w:rsidR="00AF775A" w:rsidRPr="005C6871">
        <w:rPr>
          <w:lang w:val="el-GR"/>
        </w:rPr>
        <w:t>σε διαδικασία ασύλου επί της ουσίας.</w:t>
      </w:r>
    </w:p>
    <w:p w14:paraId="36E42640" w14:textId="77777777" w:rsidR="00A544E6" w:rsidRDefault="00A544E6" w:rsidP="005C6871">
      <w:pPr>
        <w:ind w:left="720" w:hanging="720"/>
        <w:jc w:val="both"/>
        <w:rPr>
          <w:lang w:val="el-GR"/>
        </w:rPr>
      </w:pPr>
    </w:p>
    <w:p w14:paraId="462BBB34" w14:textId="77777777" w:rsidR="005C6871" w:rsidRDefault="005C6871" w:rsidP="005C6871">
      <w:pPr>
        <w:ind w:left="720" w:hanging="720"/>
        <w:jc w:val="both"/>
        <w:rPr>
          <w:lang w:val="el-GR"/>
        </w:rPr>
      </w:pPr>
      <w:r>
        <w:rPr>
          <w:lang w:val="el-GR"/>
        </w:rPr>
        <w:t>(γ)</w:t>
      </w:r>
      <w:r>
        <w:rPr>
          <w:lang w:val="el-GR"/>
        </w:rPr>
        <w:tab/>
      </w:r>
      <w:r w:rsidR="006B6CBD" w:rsidRPr="005C6871">
        <w:rPr>
          <w:lang w:val="el-GR"/>
        </w:rPr>
        <w:t>Την</w:t>
      </w:r>
      <w:r w:rsidR="00AF775A" w:rsidRPr="005C6871">
        <w:rPr>
          <w:lang w:val="el-GR"/>
        </w:rPr>
        <w:t xml:space="preserve"> καθιέρωση υποχρεωτικής </w:t>
      </w:r>
      <w:r w:rsidR="006B6CBD" w:rsidRPr="005C6871">
        <w:rPr>
          <w:lang w:val="el-GR"/>
        </w:rPr>
        <w:t>ταχύρρυθμης διαδικασίας για</w:t>
      </w:r>
      <w:r w:rsidR="00AF775A" w:rsidRPr="005C6871">
        <w:rPr>
          <w:lang w:val="el-GR"/>
        </w:rPr>
        <w:t xml:space="preserve"> δέκα λόγους, με νέο, εξόχως προβληματικό, λόγο εφαρμογής σε πολίτες χωρών για τις οποίες το ετήσιο ποσοστό αναγνώρισης στη </w:t>
      </w:r>
      <w:r w:rsidR="00AF775A" w:rsidRPr="005C6871">
        <w:rPr>
          <w:lang w:val="en-US"/>
        </w:rPr>
        <w:t xml:space="preserve">Eurostat </w:t>
      </w:r>
      <w:r w:rsidR="00AF775A" w:rsidRPr="005C6871">
        <w:rPr>
          <w:lang w:val="el-GR"/>
        </w:rPr>
        <w:t>είναι ίσο ή χαμηλότερο του 20%.</w:t>
      </w:r>
    </w:p>
    <w:p w14:paraId="6634B7D2" w14:textId="77777777" w:rsidR="005C6871" w:rsidRDefault="005C6871" w:rsidP="005C6871">
      <w:pPr>
        <w:ind w:left="720" w:hanging="720"/>
        <w:jc w:val="both"/>
        <w:rPr>
          <w:lang w:val="el-GR"/>
        </w:rPr>
      </w:pPr>
    </w:p>
    <w:p w14:paraId="28A21A6A" w14:textId="53337C9B" w:rsidR="005C6871" w:rsidRDefault="005C6871" w:rsidP="005C6871">
      <w:pPr>
        <w:ind w:left="720" w:hanging="720"/>
        <w:jc w:val="both"/>
        <w:rPr>
          <w:lang w:val="el-GR"/>
        </w:rPr>
      </w:pPr>
      <w:r>
        <w:rPr>
          <w:lang w:val="el-GR"/>
        </w:rPr>
        <w:t>(δ)</w:t>
      </w:r>
      <w:r>
        <w:rPr>
          <w:lang w:val="el-GR"/>
        </w:rPr>
        <w:tab/>
      </w:r>
      <w:r w:rsidR="00E625B1" w:rsidRPr="005C6871">
        <w:rPr>
          <w:lang w:val="el-GR"/>
        </w:rPr>
        <w:t xml:space="preserve">Τους </w:t>
      </w:r>
      <w:r w:rsidR="000700D0">
        <w:rPr>
          <w:lang w:val="el-GR"/>
        </w:rPr>
        <w:t>ιδιαιτέρως</w:t>
      </w:r>
      <w:r w:rsidR="00E625B1" w:rsidRPr="005C6871">
        <w:rPr>
          <w:lang w:val="el-GR"/>
        </w:rPr>
        <w:t xml:space="preserve"> περίπλοκους κανόνες </w:t>
      </w:r>
      <w:r w:rsidR="00AF775A" w:rsidRPr="005C6871">
        <w:rPr>
          <w:lang w:val="el-GR"/>
        </w:rPr>
        <w:t xml:space="preserve">για το ανασταλτικό αποτέλεσμα </w:t>
      </w:r>
      <w:r w:rsidR="00E625B1" w:rsidRPr="005C6871">
        <w:rPr>
          <w:lang w:val="el-GR"/>
        </w:rPr>
        <w:t>των προσφυγών</w:t>
      </w:r>
      <w:r w:rsidR="00AF775A" w:rsidRPr="005C6871">
        <w:rPr>
          <w:lang w:val="el-GR"/>
        </w:rPr>
        <w:t xml:space="preserve"> και </w:t>
      </w:r>
      <w:r w:rsidR="00E625B1" w:rsidRPr="005C6871">
        <w:rPr>
          <w:lang w:val="el-GR"/>
        </w:rPr>
        <w:t>τις</w:t>
      </w:r>
      <w:r w:rsidR="00AF775A" w:rsidRPr="005C6871">
        <w:rPr>
          <w:lang w:val="el-GR"/>
        </w:rPr>
        <w:t xml:space="preserve"> ευρύτατες εξαιρέσεις από αυτό, ακόμη και στην περίπτωση αιτήσεων ασύλου που δεν έχουν τύχει αξιολόγησης.</w:t>
      </w:r>
    </w:p>
    <w:p w14:paraId="2F530764" w14:textId="77777777" w:rsidR="005C6871" w:rsidRDefault="005C6871" w:rsidP="005C6871">
      <w:pPr>
        <w:ind w:left="720" w:hanging="720"/>
        <w:jc w:val="both"/>
        <w:rPr>
          <w:lang w:val="el-GR"/>
        </w:rPr>
      </w:pPr>
    </w:p>
    <w:p w14:paraId="4ADB920F" w14:textId="77777777" w:rsidR="005C6871" w:rsidRDefault="005C6871" w:rsidP="005C6871">
      <w:pPr>
        <w:ind w:left="720" w:hanging="720"/>
        <w:jc w:val="both"/>
        <w:rPr>
          <w:lang w:val="el-GR"/>
        </w:rPr>
      </w:pPr>
      <w:r>
        <w:rPr>
          <w:lang w:val="el-GR"/>
        </w:rPr>
        <w:t>(ε)</w:t>
      </w:r>
      <w:r>
        <w:rPr>
          <w:lang w:val="el-GR"/>
        </w:rPr>
        <w:tab/>
      </w:r>
      <w:r w:rsidR="00E625B1" w:rsidRPr="005C6871">
        <w:rPr>
          <w:lang w:val="el-GR"/>
        </w:rPr>
        <w:t>Τη</w:t>
      </w:r>
      <w:r w:rsidR="00AF775A" w:rsidRPr="005C6871">
        <w:rPr>
          <w:lang w:val="el-GR"/>
        </w:rPr>
        <w:t xml:space="preserve"> διεύρυνση των κατηγοριών προσώπων που εμπίπτουν </w:t>
      </w:r>
      <w:r w:rsidR="00E625B1" w:rsidRPr="005C6871">
        <w:rPr>
          <w:lang w:val="el-GR"/>
        </w:rPr>
        <w:t>στη διαδικασία συνόρων</w:t>
      </w:r>
      <w:r w:rsidR="00AF775A" w:rsidRPr="005C6871">
        <w:rPr>
          <w:lang w:val="el-GR"/>
        </w:rPr>
        <w:t xml:space="preserve">, σε συνδυασμό με </w:t>
      </w:r>
      <w:r w:rsidR="00E625B1" w:rsidRPr="005C6871">
        <w:rPr>
          <w:lang w:val="el-GR"/>
        </w:rPr>
        <w:t>ασαφείς και πολύπλοκες διατάξεις για</w:t>
      </w:r>
      <w:r w:rsidR="00AF775A" w:rsidRPr="005C6871">
        <w:rPr>
          <w:lang w:val="el-GR"/>
        </w:rPr>
        <w:t xml:space="preserve"> την κατ’ ουσίαν εξέταση των αιτήσεων ασύλου, </w:t>
      </w:r>
      <w:r w:rsidR="00E625B1" w:rsidRPr="005C6871">
        <w:rPr>
          <w:lang w:val="el-GR"/>
        </w:rPr>
        <w:t xml:space="preserve">καθώς και </w:t>
      </w:r>
      <w:r w:rsidR="00AF775A" w:rsidRPr="005C6871">
        <w:rPr>
          <w:lang w:val="el-GR"/>
        </w:rPr>
        <w:t xml:space="preserve">τις μειωμένες </w:t>
      </w:r>
      <w:r w:rsidR="00E625B1" w:rsidRPr="005C6871">
        <w:rPr>
          <w:lang w:val="el-GR"/>
        </w:rPr>
        <w:t xml:space="preserve">διαδικαστικές </w:t>
      </w:r>
      <w:r w:rsidR="00AF775A" w:rsidRPr="005C6871">
        <w:rPr>
          <w:lang w:val="el-GR"/>
        </w:rPr>
        <w:t>εγγυήσεις.</w:t>
      </w:r>
    </w:p>
    <w:p w14:paraId="7F8A5C3F" w14:textId="77777777" w:rsidR="005C6871" w:rsidRDefault="005C6871" w:rsidP="005C6871">
      <w:pPr>
        <w:ind w:left="720" w:hanging="720"/>
        <w:jc w:val="both"/>
        <w:rPr>
          <w:lang w:val="el-GR"/>
        </w:rPr>
      </w:pPr>
    </w:p>
    <w:p w14:paraId="42800E97" w14:textId="77777777" w:rsidR="005C6871" w:rsidRDefault="005C6871" w:rsidP="005C6871">
      <w:pPr>
        <w:ind w:left="720" w:hanging="720"/>
        <w:jc w:val="both"/>
        <w:rPr>
          <w:lang w:val="el-GR"/>
        </w:rPr>
      </w:pPr>
      <w:r>
        <w:rPr>
          <w:lang w:val="el-GR"/>
        </w:rPr>
        <w:t>(στ)</w:t>
      </w:r>
      <w:r>
        <w:rPr>
          <w:lang w:val="el-GR"/>
        </w:rPr>
        <w:tab/>
      </w:r>
      <w:r w:rsidR="00E625B1" w:rsidRPr="005C6871">
        <w:rPr>
          <w:lang w:val="el-GR"/>
        </w:rPr>
        <w:t>Την</w:t>
      </w:r>
      <w:r w:rsidR="00AF775A" w:rsidRPr="005C6871">
        <w:rPr>
          <w:lang w:val="el-GR"/>
        </w:rPr>
        <w:t xml:space="preserve"> υιοθέτηση του αμφιλεγόμενου νομικά πλάσματος δικαίου περί «μη εισόδου» παράτυπα εισερχομένων προσώπων στο έδαφος ενός κράτους μέλους, ανεξαρτήτως της φυσικής τους παρουσίας εντός του εδάφους, η οποία εντείνει του κινδύνους παραβίασης βασικών δικαιωμάτων του ανθρώπου στα σύνορα </w:t>
      </w:r>
      <w:r w:rsidR="00E625B1" w:rsidRPr="005C6871">
        <w:rPr>
          <w:lang w:val="el-GR"/>
        </w:rPr>
        <w:t xml:space="preserve">και σε έτερα σημεία της επικράτειας </w:t>
      </w:r>
      <w:r w:rsidR="00AF775A" w:rsidRPr="005C6871">
        <w:rPr>
          <w:lang w:val="el-GR"/>
        </w:rPr>
        <w:t>και δη της αρχής της μη επαναπροώθησης, του δικαιώματος στο άσυλο, σε αποτελεσματική προσφυγή και σε προσωπική ελευθερία.</w:t>
      </w:r>
    </w:p>
    <w:p w14:paraId="6DE82FC2" w14:textId="77777777" w:rsidR="005C6871" w:rsidRDefault="005C6871" w:rsidP="005C6871">
      <w:pPr>
        <w:ind w:left="720" w:hanging="720"/>
        <w:jc w:val="both"/>
        <w:rPr>
          <w:lang w:val="el-GR"/>
        </w:rPr>
      </w:pPr>
    </w:p>
    <w:p w14:paraId="7442248B" w14:textId="77777777" w:rsidR="005C6871" w:rsidRDefault="005C6871" w:rsidP="005C6871">
      <w:pPr>
        <w:ind w:left="720" w:hanging="720"/>
        <w:jc w:val="both"/>
        <w:rPr>
          <w:lang w:val="el-GR"/>
        </w:rPr>
      </w:pPr>
      <w:r>
        <w:rPr>
          <w:lang w:val="el-GR"/>
        </w:rPr>
        <w:t>(ζ)</w:t>
      </w:r>
      <w:r>
        <w:rPr>
          <w:lang w:val="el-GR"/>
        </w:rPr>
        <w:tab/>
      </w:r>
      <w:r w:rsidR="00DA718F" w:rsidRPr="005C6871">
        <w:rPr>
          <w:lang w:val="el-GR"/>
        </w:rPr>
        <w:t xml:space="preserve">Τις αυστηρότερες ρυθμίσεις για </w:t>
      </w:r>
      <w:r w:rsidR="00CC70C3" w:rsidRPr="005C6871">
        <w:rPr>
          <w:lang w:val="el-GR"/>
        </w:rPr>
        <w:t xml:space="preserve">τις εισερχόμενες διαδικασίες </w:t>
      </w:r>
      <w:r w:rsidR="0053043D" w:rsidRPr="005C6871">
        <w:rPr>
          <w:lang w:val="el-GR"/>
        </w:rPr>
        <w:t>στον Κανονισμό διαχείρισης και τη μεταχείριση των δικαιούχων διεθνούς προστασίας που αιτούνται άσυλου σε άλλα κράτη της ΕΕ, οι οποίες διευκολύνουν τις απελάσεις αιτούντων άσυλο και δικαιούχων διεθνούς προστασίας σε χώρες πρώτης εισόδου όπως η Ελλάδα.</w:t>
      </w:r>
      <w:bookmarkEnd w:id="0"/>
    </w:p>
    <w:p w14:paraId="73D393B3" w14:textId="77777777" w:rsidR="005C6871" w:rsidRDefault="005C6871" w:rsidP="005C6871">
      <w:pPr>
        <w:ind w:left="720" w:hanging="720"/>
        <w:jc w:val="both"/>
        <w:rPr>
          <w:lang w:val="el-GR"/>
        </w:rPr>
      </w:pPr>
    </w:p>
    <w:p w14:paraId="02001081" w14:textId="5238FB67" w:rsidR="00D177DA" w:rsidRPr="005C6871" w:rsidRDefault="005C6871" w:rsidP="005C6871">
      <w:pPr>
        <w:ind w:left="720" w:hanging="720"/>
        <w:jc w:val="both"/>
        <w:rPr>
          <w:lang w:val="el-GR"/>
        </w:rPr>
      </w:pPr>
      <w:r>
        <w:rPr>
          <w:lang w:val="el-GR"/>
        </w:rPr>
        <w:t>(η)</w:t>
      </w:r>
      <w:r>
        <w:rPr>
          <w:lang w:val="el-GR"/>
        </w:rPr>
        <w:tab/>
      </w:r>
      <w:r w:rsidR="00264E46" w:rsidRPr="005C6871">
        <w:rPr>
          <w:lang w:val="el-GR"/>
        </w:rPr>
        <w:t>Την</w:t>
      </w:r>
      <w:r w:rsidR="00D177DA" w:rsidRPr="005C6871">
        <w:rPr>
          <w:lang w:val="el-GR"/>
        </w:rPr>
        <w:t xml:space="preserve"> ευρεία θεσμοθέτηση </w:t>
      </w:r>
      <w:r w:rsidR="00264E46" w:rsidRPr="005C6871">
        <w:rPr>
          <w:lang w:val="el-GR"/>
        </w:rPr>
        <w:t xml:space="preserve">καθεστώτων εξαίρεσης από </w:t>
      </w:r>
      <w:r w:rsidR="00D177DA" w:rsidRPr="005C6871">
        <w:rPr>
          <w:lang w:val="el-GR"/>
        </w:rPr>
        <w:t>το σώμα των βασικών εγγυήσεων του ΚΕΣΑ</w:t>
      </w:r>
      <w:r w:rsidR="00264E46" w:rsidRPr="005C6871">
        <w:rPr>
          <w:lang w:val="el-GR"/>
        </w:rPr>
        <w:t>, καθώς</w:t>
      </w:r>
      <w:r w:rsidR="00D25847">
        <w:rPr>
          <w:lang w:val="el-GR"/>
        </w:rPr>
        <w:t>,</w:t>
      </w:r>
      <w:r w:rsidR="00D177DA" w:rsidRPr="005C6871">
        <w:rPr>
          <w:lang w:val="el-GR"/>
        </w:rPr>
        <w:t xml:space="preserve"> με την επίκληση </w:t>
      </w:r>
      <w:r w:rsidR="00D177DA" w:rsidRPr="006B7330">
        <w:rPr>
          <w:i/>
          <w:iCs/>
          <w:lang w:val="el-GR"/>
        </w:rPr>
        <w:t>δέκα</w:t>
      </w:r>
      <w:r w:rsidR="00D177DA" w:rsidRPr="005C6871">
        <w:rPr>
          <w:lang w:val="el-GR"/>
        </w:rPr>
        <w:t xml:space="preserve"> διαφορετικών «έκτακτων» καταστάσεων</w:t>
      </w:r>
      <w:r w:rsidR="00031156">
        <w:rPr>
          <w:lang w:val="el-GR"/>
        </w:rPr>
        <w:t>,</w:t>
      </w:r>
      <w:r w:rsidR="00D177DA" w:rsidRPr="005C6871">
        <w:rPr>
          <w:lang w:val="el-GR"/>
        </w:rPr>
        <w:t xml:space="preserve"> ενεργοποιείται η εφαρμογή συγκεκριμένων διατάξεων που θέτουν εκτός της κανονικής λειτουργίας ενός συστήματος ασύλου μεγάλο αριθμό προσφύγων, συχνά κατά παρέκκλιση από το ενωσιακό και διεθνές δίκαιο.</w:t>
      </w:r>
    </w:p>
    <w:p w14:paraId="26EF6A30" w14:textId="77777777" w:rsidR="0035751F" w:rsidRDefault="0035751F" w:rsidP="000F333F">
      <w:pPr>
        <w:jc w:val="both"/>
        <w:rPr>
          <w:lang w:val="el-GR"/>
        </w:rPr>
      </w:pPr>
    </w:p>
    <w:p w14:paraId="3952D910" w14:textId="62E6526B" w:rsidR="00920E19" w:rsidRPr="00C004FF" w:rsidRDefault="00EE2E92" w:rsidP="00920E19">
      <w:pPr>
        <w:jc w:val="both"/>
        <w:rPr>
          <w:rFonts w:eastAsia="Arial" w:cs="Arial"/>
          <w:lang w:val="el-GR"/>
        </w:rPr>
      </w:pPr>
      <w:r>
        <w:rPr>
          <w:rFonts w:eastAsia="Arial" w:cs="Arial"/>
          <w:lang w:val="el-GR"/>
        </w:rPr>
        <w:t>Για τους λόγους αυτούς</w:t>
      </w:r>
      <w:r w:rsidR="00920E19">
        <w:rPr>
          <w:rFonts w:eastAsia="Arial" w:cs="Arial"/>
          <w:lang w:val="el-GR"/>
        </w:rPr>
        <w:t>,</w:t>
      </w:r>
      <w:r w:rsidR="00535F7D">
        <w:rPr>
          <w:rFonts w:eastAsia="Arial" w:cs="Arial"/>
          <w:lang w:val="el-GR"/>
        </w:rPr>
        <w:t xml:space="preserve"> κρίνουμε</w:t>
      </w:r>
      <w:r w:rsidR="00920E19">
        <w:rPr>
          <w:rFonts w:eastAsia="Arial" w:cs="Arial"/>
          <w:lang w:val="el-GR"/>
        </w:rPr>
        <w:t xml:space="preserve"> </w:t>
      </w:r>
      <w:r w:rsidR="00B2617B">
        <w:rPr>
          <w:rFonts w:eastAsia="Arial" w:cs="Arial"/>
          <w:lang w:val="el-GR"/>
        </w:rPr>
        <w:t>απαραίτητη</w:t>
      </w:r>
      <w:r w:rsidR="00920E19">
        <w:rPr>
          <w:rFonts w:eastAsia="Arial" w:cs="Arial"/>
          <w:lang w:val="el-GR"/>
        </w:rPr>
        <w:t xml:space="preserve"> τη</w:t>
      </w:r>
      <w:r w:rsidR="00801B98">
        <w:rPr>
          <w:rFonts w:eastAsia="Arial" w:cs="Arial"/>
          <w:lang w:val="el-GR"/>
        </w:rPr>
        <w:t>ν έγκαιρη</w:t>
      </w:r>
      <w:r w:rsidR="00920E19">
        <w:rPr>
          <w:rFonts w:eastAsia="Arial" w:cs="Arial"/>
          <w:lang w:val="el-GR"/>
        </w:rPr>
        <w:t xml:space="preserve"> </w:t>
      </w:r>
      <w:r w:rsidR="005F14BB">
        <w:rPr>
          <w:rFonts w:eastAsia="Arial" w:cs="Arial"/>
          <w:lang w:val="el-GR"/>
        </w:rPr>
        <w:t>διαβούλευση</w:t>
      </w:r>
      <w:r w:rsidR="00920E19">
        <w:rPr>
          <w:rFonts w:eastAsia="Arial" w:cs="Arial"/>
          <w:lang w:val="el-GR"/>
        </w:rPr>
        <w:t xml:space="preserve"> των αρμόδιων αρχών και δη της Ομάδας Εργασίας για την εφαρμογή, τον επιχειρησιακό σχεδιασμό και την υλοποίηση του </w:t>
      </w:r>
      <w:r w:rsidR="00EA710B">
        <w:rPr>
          <w:rFonts w:eastAsia="Arial" w:cs="Arial"/>
          <w:lang w:val="el-GR"/>
        </w:rPr>
        <w:t xml:space="preserve">Νέου </w:t>
      </w:r>
      <w:r w:rsidR="00920E19">
        <w:rPr>
          <w:rFonts w:eastAsia="Arial" w:cs="Arial"/>
          <w:lang w:val="el-GR"/>
        </w:rPr>
        <w:t xml:space="preserve">Συμφώνου </w:t>
      </w:r>
      <w:r w:rsidR="00EA710B">
        <w:rPr>
          <w:rFonts w:eastAsia="Arial" w:cs="Arial"/>
          <w:lang w:val="el-GR"/>
        </w:rPr>
        <w:t xml:space="preserve">για τη Μετανάστευση και το Άσυλο </w:t>
      </w:r>
      <w:r w:rsidR="00920E19">
        <w:rPr>
          <w:rFonts w:eastAsia="Arial" w:cs="Arial"/>
          <w:lang w:val="el-GR"/>
        </w:rPr>
        <w:t>(υπ’αριθμ. 121126/09-04-2024 Απόφαση, ΑΔΑ: 6ΗΞ046ΜΔΨΟ-ΛΒΛ, ως ισχύει)</w:t>
      </w:r>
      <w:r w:rsidR="00C87950">
        <w:rPr>
          <w:rFonts w:eastAsia="Arial" w:cs="Arial"/>
          <w:lang w:val="el-GR"/>
        </w:rPr>
        <w:t>, υπό τον συντονισμό του Γενικού Γραμματέα Μεταναστευτικής Πολιτικής του Υπουργείου Μετανάστευσης και Ασύλου,</w:t>
      </w:r>
      <w:r w:rsidR="00920E19">
        <w:rPr>
          <w:rFonts w:eastAsia="Arial" w:cs="Arial"/>
          <w:lang w:val="el-GR"/>
        </w:rPr>
        <w:t xml:space="preserve"> με την κοινωνία </w:t>
      </w:r>
      <w:r w:rsidR="00920E19">
        <w:rPr>
          <w:lang w:val="el-GR"/>
        </w:rPr>
        <w:t>των πολιτών προ της εκπόνησης του ελληνικού σχεδίου εκτέλεσης</w:t>
      </w:r>
      <w:r w:rsidR="00475806">
        <w:rPr>
          <w:lang w:val="el-GR"/>
        </w:rPr>
        <w:t>, το οποίο θα κατατεθεί</w:t>
      </w:r>
      <w:r w:rsidR="00920E19">
        <w:rPr>
          <w:lang w:val="el-GR"/>
        </w:rPr>
        <w:t xml:space="preserve"> στην Ευρωπαϊκή Επιτροπή μέχρι </w:t>
      </w:r>
      <w:r w:rsidR="00920E19">
        <w:rPr>
          <w:lang w:val="el-GR"/>
        </w:rPr>
        <w:lastRenderedPageBreak/>
        <w:t>τις 12-12-2024,</w:t>
      </w:r>
      <w:r w:rsidR="00920E19">
        <w:rPr>
          <w:rStyle w:val="FootnoteReference"/>
          <w:rFonts w:eastAsia="Arial" w:cs="Arial"/>
          <w:lang w:val="el-GR"/>
        </w:rPr>
        <w:footnoteReference w:id="3"/>
      </w:r>
      <w:r w:rsidR="00920E19">
        <w:rPr>
          <w:lang w:val="el-GR"/>
        </w:rPr>
        <w:t xml:space="preserve"> </w:t>
      </w:r>
      <w:r w:rsidR="000F4433">
        <w:rPr>
          <w:lang w:val="el-GR"/>
        </w:rPr>
        <w:t>με στόχο την πληρέστερη αξιολόγηση των νέων ενωσιακών ρυθμίσεων και τη διασφάλιση τ</w:t>
      </w:r>
      <w:r w:rsidR="00573B7C">
        <w:rPr>
          <w:lang w:val="el-GR"/>
        </w:rPr>
        <w:t>η</w:t>
      </w:r>
      <w:r w:rsidR="000F4433">
        <w:rPr>
          <w:lang w:val="el-GR"/>
        </w:rPr>
        <w:t>ς</w:t>
      </w:r>
      <w:r w:rsidR="00573B7C">
        <w:rPr>
          <w:lang w:val="el-GR"/>
        </w:rPr>
        <w:t xml:space="preserve"> </w:t>
      </w:r>
      <w:r w:rsidR="00920E19">
        <w:rPr>
          <w:lang w:val="el-GR"/>
        </w:rPr>
        <w:t xml:space="preserve">τήρηση του διεθνούς δικαίου και του κεκτημένου της ΕΕ κατά τη μεταφορά και εφαρμογή </w:t>
      </w:r>
      <w:r w:rsidR="00C30C4C">
        <w:rPr>
          <w:lang w:val="el-GR"/>
        </w:rPr>
        <w:t>αυτών</w:t>
      </w:r>
      <w:r w:rsidR="00920E19">
        <w:rPr>
          <w:lang w:val="el-GR"/>
        </w:rPr>
        <w:t xml:space="preserve"> στην ελληνική έννομη τάξη.</w:t>
      </w:r>
    </w:p>
    <w:p w14:paraId="514110DD" w14:textId="77777777" w:rsidR="0035751F" w:rsidRDefault="0035751F" w:rsidP="000F333F">
      <w:pPr>
        <w:jc w:val="both"/>
        <w:rPr>
          <w:lang w:val="el-GR"/>
        </w:rPr>
      </w:pPr>
    </w:p>
    <w:p w14:paraId="48AC0F2E" w14:textId="7A10C8B0" w:rsidR="00EE2E92" w:rsidRDefault="00EE2E92" w:rsidP="000F333F">
      <w:pPr>
        <w:jc w:val="both"/>
        <w:rPr>
          <w:lang w:val="el-GR"/>
        </w:rPr>
      </w:pPr>
      <w:r>
        <w:rPr>
          <w:lang w:val="el-GR"/>
        </w:rPr>
        <w:t>Βάσει των ανωτέρω, αιτούμαστε:</w:t>
      </w:r>
    </w:p>
    <w:p w14:paraId="67F0FADC" w14:textId="77777777" w:rsidR="00160D40" w:rsidRDefault="00160D40" w:rsidP="00160D40">
      <w:pPr>
        <w:pStyle w:val="ListParagraph"/>
        <w:jc w:val="both"/>
        <w:rPr>
          <w:lang w:val="el-GR"/>
        </w:rPr>
      </w:pPr>
    </w:p>
    <w:p w14:paraId="35592B08" w14:textId="0D7BF84B" w:rsidR="00EE2E92" w:rsidRDefault="000C4FBA" w:rsidP="00EE2E92">
      <w:pPr>
        <w:pStyle w:val="ListParagraph"/>
        <w:numPr>
          <w:ilvl w:val="0"/>
          <w:numId w:val="2"/>
        </w:numPr>
        <w:jc w:val="both"/>
        <w:rPr>
          <w:lang w:val="el-GR"/>
        </w:rPr>
      </w:pPr>
      <w:r>
        <w:rPr>
          <w:lang w:val="el-GR"/>
        </w:rPr>
        <w:t>Την παροχή</w:t>
      </w:r>
      <w:r w:rsidR="00EE2E92">
        <w:rPr>
          <w:lang w:val="el-GR"/>
        </w:rPr>
        <w:t xml:space="preserve"> ενημέρωση</w:t>
      </w:r>
      <w:r>
        <w:rPr>
          <w:lang w:val="el-GR"/>
        </w:rPr>
        <w:t>ς</w:t>
      </w:r>
      <w:r w:rsidR="00EE2E92">
        <w:rPr>
          <w:lang w:val="el-GR"/>
        </w:rPr>
        <w:t xml:space="preserve"> αναφορικά με το </w:t>
      </w:r>
      <w:r w:rsidR="00E32774">
        <w:rPr>
          <w:lang w:val="el-GR"/>
        </w:rPr>
        <w:t xml:space="preserve">τρέχον </w:t>
      </w:r>
      <w:r w:rsidR="00EE2E92">
        <w:rPr>
          <w:lang w:val="el-GR"/>
        </w:rPr>
        <w:t>στάδιο επεξεργασίας του εθνικού σχεδίου εκτέλεσης του Νέου Συμφώνου για τη Μετανάστευση και το Άσυλο</w:t>
      </w:r>
    </w:p>
    <w:p w14:paraId="53A9755B" w14:textId="77777777" w:rsidR="00160D40" w:rsidRDefault="00160D40" w:rsidP="00160D40">
      <w:pPr>
        <w:pStyle w:val="ListParagraph"/>
        <w:jc w:val="both"/>
        <w:rPr>
          <w:lang w:val="el-GR"/>
        </w:rPr>
      </w:pPr>
    </w:p>
    <w:p w14:paraId="5D0C3E57" w14:textId="22D4AACE" w:rsidR="000C4FBA" w:rsidRPr="00EE2E92" w:rsidRDefault="000C4FBA" w:rsidP="00EE2E92">
      <w:pPr>
        <w:pStyle w:val="ListParagraph"/>
        <w:numPr>
          <w:ilvl w:val="0"/>
          <w:numId w:val="2"/>
        </w:numPr>
        <w:jc w:val="both"/>
        <w:rPr>
          <w:lang w:val="el-GR"/>
        </w:rPr>
      </w:pPr>
      <w:r>
        <w:rPr>
          <w:lang w:val="el-GR"/>
        </w:rPr>
        <w:t xml:space="preserve">Τη διεξαγωγή διαβούλευσης </w:t>
      </w:r>
      <w:r w:rsidR="00527E30">
        <w:rPr>
          <w:lang w:val="el-GR"/>
        </w:rPr>
        <w:t xml:space="preserve">των μελών και παρατηρητών της Ομάδας Εργασίας για την εφαρμογή του Συμφώνου  </w:t>
      </w:r>
      <w:r>
        <w:rPr>
          <w:lang w:val="el-GR"/>
        </w:rPr>
        <w:t>με τις οργανώσεις της κοινωνίας των πολιτών</w:t>
      </w:r>
      <w:r w:rsidR="009C08D9">
        <w:rPr>
          <w:lang w:val="el-GR"/>
        </w:rPr>
        <w:t>,</w:t>
      </w:r>
      <w:r w:rsidR="00FA32E4">
        <w:rPr>
          <w:lang w:val="el-GR"/>
        </w:rPr>
        <w:t xml:space="preserve"> για την έκθεση απόψεων σχετικά με τις επιπτώσεις των νέων ρυθμίσεων και με τη σύννομη εφαρμογή τους. </w:t>
      </w:r>
      <w:r w:rsidR="009C08D9">
        <w:rPr>
          <w:lang w:val="el-GR"/>
        </w:rPr>
        <w:t xml:space="preserve"> </w:t>
      </w:r>
    </w:p>
    <w:p w14:paraId="26AF9FC4" w14:textId="77777777" w:rsidR="00EE2E92" w:rsidRPr="00AF775A" w:rsidRDefault="00EE2E92" w:rsidP="000F333F">
      <w:pPr>
        <w:jc w:val="both"/>
        <w:rPr>
          <w:lang w:val="el-GR"/>
        </w:rPr>
      </w:pPr>
    </w:p>
    <w:p w14:paraId="303227EA" w14:textId="77777777" w:rsidR="000F333F" w:rsidRDefault="000F333F" w:rsidP="000F333F">
      <w:pPr>
        <w:jc w:val="both"/>
        <w:rPr>
          <w:lang w:val="en-US"/>
        </w:rPr>
      </w:pPr>
    </w:p>
    <w:p w14:paraId="0E691AED" w14:textId="1113B046" w:rsidR="000F333F" w:rsidRDefault="000F333F" w:rsidP="000F333F">
      <w:pPr>
        <w:jc w:val="both"/>
        <w:rPr>
          <w:lang w:val="el-GR"/>
        </w:rPr>
      </w:pPr>
      <w:r>
        <w:rPr>
          <w:lang w:val="el-GR"/>
        </w:rPr>
        <w:t>Με τιμή,</w:t>
      </w:r>
    </w:p>
    <w:p w14:paraId="23EAC3EC" w14:textId="77777777" w:rsidR="000F333F" w:rsidRDefault="000F333F" w:rsidP="000F333F">
      <w:pPr>
        <w:jc w:val="both"/>
        <w:rPr>
          <w:lang w:val="el-GR"/>
        </w:rPr>
      </w:pPr>
    </w:p>
    <w:p w14:paraId="23BF4A3C" w14:textId="7D2B27C3" w:rsidR="000F333F" w:rsidRDefault="000F333F" w:rsidP="000F333F">
      <w:pPr>
        <w:jc w:val="both"/>
        <w:rPr>
          <w:lang w:val="el-GR"/>
        </w:rPr>
      </w:pPr>
      <w:r>
        <w:rPr>
          <w:lang w:val="el-GR"/>
        </w:rPr>
        <w:t>Οι υπογράφουσες οργανώσεις</w:t>
      </w:r>
    </w:p>
    <w:p w14:paraId="79654D4B" w14:textId="77777777" w:rsidR="000F333F" w:rsidRDefault="000F333F" w:rsidP="000F333F">
      <w:pPr>
        <w:jc w:val="both"/>
        <w:rPr>
          <w:lang w:val="el-GR"/>
        </w:rPr>
      </w:pPr>
    </w:p>
    <w:p w14:paraId="789CBCC4" w14:textId="77777777" w:rsidR="00BA6123" w:rsidRPr="006962F9" w:rsidRDefault="00BB3EB0" w:rsidP="000F333F">
      <w:pPr>
        <w:pStyle w:val="ListParagraph"/>
        <w:numPr>
          <w:ilvl w:val="0"/>
          <w:numId w:val="3"/>
        </w:numPr>
        <w:jc w:val="both"/>
        <w:rPr>
          <w:lang w:val="el-GR"/>
        </w:rPr>
      </w:pPr>
      <w:r w:rsidRPr="00BA6123">
        <w:rPr>
          <w:lang w:val="el-GR"/>
        </w:rPr>
        <w:t>ΑΡΣΙΣ Κοινωνική Οργάνωση Υποστήριξης Νέων</w:t>
      </w:r>
    </w:p>
    <w:p w14:paraId="36E239F7" w14:textId="2DC2A92F" w:rsidR="006962F9" w:rsidRDefault="006962F9" w:rsidP="000F333F">
      <w:pPr>
        <w:pStyle w:val="ListParagraph"/>
        <w:numPr>
          <w:ilvl w:val="0"/>
          <w:numId w:val="3"/>
        </w:numPr>
        <w:jc w:val="both"/>
        <w:rPr>
          <w:lang w:val="el-GR"/>
        </w:rPr>
      </w:pPr>
      <w:r>
        <w:rPr>
          <w:lang w:val="el-GR"/>
        </w:rPr>
        <w:t>Δίκτυο για τα Δικαιώματα του Παιδιού (ΔΔΠ)</w:t>
      </w:r>
    </w:p>
    <w:p w14:paraId="224E95D4" w14:textId="77777777" w:rsidR="00BA6123" w:rsidRDefault="009C651D" w:rsidP="000F333F">
      <w:pPr>
        <w:pStyle w:val="ListParagraph"/>
        <w:numPr>
          <w:ilvl w:val="0"/>
          <w:numId w:val="3"/>
        </w:numPr>
        <w:jc w:val="both"/>
        <w:rPr>
          <w:lang w:val="el-GR"/>
        </w:rPr>
      </w:pPr>
      <w:r w:rsidRPr="00BA6123">
        <w:rPr>
          <w:lang w:val="el-GR"/>
        </w:rPr>
        <w:t>Ελληνικό Συμβούλιο για τους Πρόσφυγες (ΕΣΠ)</w:t>
      </w:r>
    </w:p>
    <w:p w14:paraId="58F9E936" w14:textId="77777777" w:rsidR="00BA6123" w:rsidRDefault="00184C90" w:rsidP="000F333F">
      <w:pPr>
        <w:pStyle w:val="ListParagraph"/>
        <w:numPr>
          <w:ilvl w:val="0"/>
          <w:numId w:val="3"/>
        </w:numPr>
        <w:jc w:val="both"/>
        <w:rPr>
          <w:lang w:val="el-GR"/>
        </w:rPr>
      </w:pPr>
      <w:r w:rsidRPr="00BA6123">
        <w:rPr>
          <w:lang w:val="el-GR"/>
        </w:rPr>
        <w:t xml:space="preserve">Υποστήριξη Προσφύγων στο Αιγαίο </w:t>
      </w:r>
      <w:r w:rsidRPr="00BA6123">
        <w:rPr>
          <w:lang w:val="en-US"/>
        </w:rPr>
        <w:t>(RSA)</w:t>
      </w:r>
    </w:p>
    <w:p w14:paraId="129EB6A6" w14:textId="77777777" w:rsidR="00BA6123" w:rsidRDefault="00574332" w:rsidP="000F333F">
      <w:pPr>
        <w:pStyle w:val="ListParagraph"/>
        <w:numPr>
          <w:ilvl w:val="0"/>
          <w:numId w:val="3"/>
        </w:numPr>
        <w:jc w:val="both"/>
        <w:rPr>
          <w:lang w:val="el-GR"/>
        </w:rPr>
      </w:pPr>
      <w:r w:rsidRPr="00BA6123">
        <w:rPr>
          <w:lang w:val="en-US"/>
        </w:rPr>
        <w:t>Equal Rights Beyond Borders</w:t>
      </w:r>
    </w:p>
    <w:p w14:paraId="7B081855" w14:textId="77777777" w:rsidR="00BA6123" w:rsidRDefault="00971768" w:rsidP="000F333F">
      <w:pPr>
        <w:pStyle w:val="ListParagraph"/>
        <w:numPr>
          <w:ilvl w:val="0"/>
          <w:numId w:val="3"/>
        </w:numPr>
        <w:jc w:val="both"/>
        <w:rPr>
          <w:lang w:val="el-GR"/>
        </w:rPr>
      </w:pPr>
      <w:r w:rsidRPr="00BA6123">
        <w:rPr>
          <w:lang w:val="en-US"/>
        </w:rPr>
        <w:t xml:space="preserve">HIAS </w:t>
      </w:r>
      <w:r w:rsidRPr="00BA6123">
        <w:rPr>
          <w:lang w:val="el-GR"/>
        </w:rPr>
        <w:t>Ελλάδος</w:t>
      </w:r>
    </w:p>
    <w:p w14:paraId="1552285C" w14:textId="77777777" w:rsidR="00BA6123" w:rsidRDefault="00B048D3" w:rsidP="000F333F">
      <w:pPr>
        <w:pStyle w:val="ListParagraph"/>
        <w:numPr>
          <w:ilvl w:val="0"/>
          <w:numId w:val="3"/>
        </w:numPr>
        <w:jc w:val="both"/>
        <w:rPr>
          <w:lang w:val="el-GR"/>
        </w:rPr>
      </w:pPr>
      <w:r w:rsidRPr="00BA6123">
        <w:rPr>
          <w:lang w:val="en-US"/>
        </w:rPr>
        <w:t>Mobile Info Team</w:t>
      </w:r>
    </w:p>
    <w:p w14:paraId="150155F6" w14:textId="09336FBC" w:rsidR="00184C90" w:rsidRPr="00BA6123" w:rsidRDefault="00184C90" w:rsidP="000F333F">
      <w:pPr>
        <w:pStyle w:val="ListParagraph"/>
        <w:numPr>
          <w:ilvl w:val="0"/>
          <w:numId w:val="3"/>
        </w:numPr>
        <w:jc w:val="both"/>
        <w:rPr>
          <w:lang w:val="el-GR"/>
        </w:rPr>
      </w:pPr>
      <w:r w:rsidRPr="00BA6123">
        <w:rPr>
          <w:lang w:val="en-US"/>
        </w:rPr>
        <w:t>SolidarityNow</w:t>
      </w:r>
    </w:p>
    <w:p w14:paraId="16434F39" w14:textId="77777777" w:rsidR="000F333F" w:rsidRPr="000F333F" w:rsidRDefault="000F333F" w:rsidP="000F333F">
      <w:pPr>
        <w:jc w:val="both"/>
        <w:rPr>
          <w:lang w:val="el-GR"/>
        </w:rPr>
      </w:pPr>
    </w:p>
    <w:sectPr w:rsidR="000F333F" w:rsidRPr="000F333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3E4A3C" w14:textId="77777777" w:rsidR="00210BFE" w:rsidRDefault="00210BFE" w:rsidP="00A00E65">
      <w:pPr>
        <w:spacing w:line="240" w:lineRule="auto"/>
      </w:pPr>
      <w:r>
        <w:separator/>
      </w:r>
    </w:p>
  </w:endnote>
  <w:endnote w:type="continuationSeparator" w:id="0">
    <w:p w14:paraId="469D1583" w14:textId="77777777" w:rsidR="00210BFE" w:rsidRDefault="00210BFE" w:rsidP="00A00E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5481D4" w14:textId="77777777" w:rsidR="00210BFE" w:rsidRDefault="00210BFE" w:rsidP="00A00E65">
      <w:pPr>
        <w:spacing w:line="240" w:lineRule="auto"/>
      </w:pPr>
      <w:r>
        <w:separator/>
      </w:r>
    </w:p>
  </w:footnote>
  <w:footnote w:type="continuationSeparator" w:id="0">
    <w:p w14:paraId="1B0E4AFE" w14:textId="77777777" w:rsidR="00210BFE" w:rsidRDefault="00210BFE" w:rsidP="00A00E65">
      <w:pPr>
        <w:spacing w:line="240" w:lineRule="auto"/>
      </w:pPr>
      <w:r>
        <w:continuationSeparator/>
      </w:r>
    </w:p>
  </w:footnote>
  <w:footnote w:id="1">
    <w:p w14:paraId="60DDAAFE" w14:textId="47C2B163" w:rsidR="00A00E65" w:rsidRPr="00A00E65" w:rsidRDefault="00A00E65" w:rsidP="00A00E65">
      <w:pPr>
        <w:pStyle w:val="FootnoteText"/>
        <w:ind w:left="567" w:hanging="567"/>
        <w:jc w:val="both"/>
        <w:rPr>
          <w:sz w:val="18"/>
          <w:szCs w:val="18"/>
          <w:lang w:val="en-US"/>
        </w:rPr>
      </w:pPr>
      <w:r w:rsidRPr="00A00E65">
        <w:rPr>
          <w:rStyle w:val="FootnoteReference"/>
          <w:sz w:val="18"/>
          <w:szCs w:val="18"/>
        </w:rPr>
        <w:footnoteRef/>
      </w:r>
      <w:r w:rsidRPr="00A00E65">
        <w:rPr>
          <w:sz w:val="18"/>
          <w:szCs w:val="18"/>
        </w:rPr>
        <w:t xml:space="preserve"> </w:t>
      </w:r>
      <w:r>
        <w:rPr>
          <w:sz w:val="18"/>
          <w:szCs w:val="18"/>
        </w:rPr>
        <w:tab/>
      </w:r>
      <w:r w:rsidRPr="00A00E65">
        <w:rPr>
          <w:sz w:val="18"/>
          <w:szCs w:val="18"/>
          <w:lang w:val="el-GR"/>
        </w:rPr>
        <w:t xml:space="preserve">Μεταξύ </w:t>
      </w:r>
      <w:r>
        <w:rPr>
          <w:sz w:val="18"/>
          <w:szCs w:val="18"/>
          <w:lang w:val="el-GR"/>
        </w:rPr>
        <w:t>άλλων</w:t>
      </w:r>
      <w:r w:rsidRPr="00A00E65">
        <w:rPr>
          <w:sz w:val="18"/>
          <w:szCs w:val="18"/>
          <w:lang w:val="el-GR"/>
        </w:rPr>
        <w:t>, Οδηγία (ΕΕ) 2024/1346 για την υποδοχή, Κανονισμός (ΕΕ) 2024/1347 για την αναγνώριση, Κανονισμός (ΕΕ) 2024/1348 για τις διαδικασίες ασύλου, Κανονισμός (ΕΕ) 2024/1349 για τη διαδικασία επιστροφής στα σύνορα, Κανονισμός (ΕΕ) 2024/1351 για τη διαχείριση του ασύλου και της μετανάστευσης, Κανονισμός (ΕΕ) 2024/1356 για τον έλεγχο διαλογής,</w:t>
      </w:r>
      <w:r w:rsidRPr="00A00E65">
        <w:rPr>
          <w:sz w:val="18"/>
          <w:szCs w:val="18"/>
          <w:lang w:val="en-US"/>
        </w:rPr>
        <w:t xml:space="preserve"> </w:t>
      </w:r>
      <w:r w:rsidRPr="00A00E65">
        <w:rPr>
          <w:sz w:val="18"/>
          <w:szCs w:val="18"/>
          <w:lang w:val="el-GR"/>
        </w:rPr>
        <w:t xml:space="preserve">Κανονισμός (ΕΕ) 2024/1358 για το </w:t>
      </w:r>
      <w:r w:rsidRPr="00A00E65">
        <w:rPr>
          <w:sz w:val="18"/>
          <w:szCs w:val="18"/>
          <w:lang w:val="en-US"/>
        </w:rPr>
        <w:t>Eurodac,</w:t>
      </w:r>
      <w:r w:rsidRPr="00A00E65">
        <w:rPr>
          <w:sz w:val="18"/>
          <w:szCs w:val="18"/>
          <w:lang w:val="el-GR"/>
        </w:rPr>
        <w:t xml:space="preserve"> Κανονισμός (ΕΕ) 2024/1359 για τη διαχείριση κρίσεων.</w:t>
      </w:r>
    </w:p>
  </w:footnote>
  <w:footnote w:id="2">
    <w:p w14:paraId="797CC837" w14:textId="28DF572F" w:rsidR="00965F09" w:rsidRPr="007E2844" w:rsidRDefault="00965F09" w:rsidP="00965F09">
      <w:pPr>
        <w:pStyle w:val="FootnoteText"/>
        <w:ind w:left="567" w:hanging="567"/>
        <w:jc w:val="both"/>
        <w:rPr>
          <w:sz w:val="18"/>
          <w:szCs w:val="18"/>
          <w:lang w:val="el-GR"/>
        </w:rPr>
      </w:pPr>
      <w:r w:rsidRPr="00A00E65">
        <w:rPr>
          <w:rStyle w:val="FootnoteReference"/>
          <w:sz w:val="18"/>
          <w:szCs w:val="18"/>
        </w:rPr>
        <w:footnoteRef/>
      </w:r>
      <w:r w:rsidRPr="00A00E65">
        <w:rPr>
          <w:sz w:val="18"/>
          <w:szCs w:val="18"/>
        </w:rPr>
        <w:t xml:space="preserve"> </w:t>
      </w:r>
      <w:r>
        <w:rPr>
          <w:sz w:val="18"/>
          <w:szCs w:val="18"/>
        </w:rPr>
        <w:tab/>
      </w:r>
      <w:r w:rsidR="007E2844">
        <w:rPr>
          <w:sz w:val="18"/>
          <w:szCs w:val="18"/>
          <w:lang w:val="el-GR"/>
        </w:rPr>
        <w:t>Οράτε μεταξύ άλλων, Υποστήριξη Προσφύγων στο Αιγαίο (</w:t>
      </w:r>
      <w:r w:rsidR="007E2844">
        <w:rPr>
          <w:sz w:val="18"/>
          <w:szCs w:val="18"/>
          <w:lang w:val="en-US"/>
        </w:rPr>
        <w:t>RSA</w:t>
      </w:r>
      <w:r w:rsidR="007E2844">
        <w:rPr>
          <w:sz w:val="18"/>
          <w:szCs w:val="18"/>
          <w:lang w:val="el-GR"/>
        </w:rPr>
        <w:t>)</w:t>
      </w:r>
      <w:r w:rsidR="007E2844">
        <w:rPr>
          <w:sz w:val="18"/>
          <w:szCs w:val="18"/>
          <w:lang w:val="en-US"/>
        </w:rPr>
        <w:t xml:space="preserve">, </w:t>
      </w:r>
      <w:r w:rsidR="007E2844">
        <w:rPr>
          <w:i/>
          <w:iCs/>
          <w:sz w:val="18"/>
          <w:szCs w:val="18"/>
          <w:lang w:val="el-GR"/>
        </w:rPr>
        <w:t>Νέο Σύμφωνο για τη Μετανάαστευση και το Άσυλο: Ανεπίτρεπτη οπισθοδρόμηση στην προστασία των αιτούντων άσυλο</w:t>
      </w:r>
      <w:r w:rsidR="007E2844">
        <w:rPr>
          <w:sz w:val="18"/>
          <w:szCs w:val="18"/>
          <w:lang w:val="el-GR"/>
        </w:rPr>
        <w:t xml:space="preserve">, Ιούλιος 2024, διαθέσιμο </w:t>
      </w:r>
      <w:hyperlink r:id="rId1" w:history="1">
        <w:r w:rsidR="007E2844" w:rsidRPr="007E2844">
          <w:rPr>
            <w:rStyle w:val="Hyperlink"/>
            <w:sz w:val="18"/>
            <w:szCs w:val="18"/>
            <w:lang w:val="el-GR"/>
          </w:rPr>
          <w:t>εδώ</w:t>
        </w:r>
      </w:hyperlink>
      <w:r w:rsidR="007E2844">
        <w:rPr>
          <w:sz w:val="18"/>
          <w:szCs w:val="18"/>
          <w:lang w:val="en-US"/>
        </w:rPr>
        <w:t xml:space="preserve">, </w:t>
      </w:r>
      <w:r w:rsidR="007E2844">
        <w:rPr>
          <w:sz w:val="18"/>
          <w:szCs w:val="18"/>
          <w:lang w:val="el-GR"/>
        </w:rPr>
        <w:t xml:space="preserve">Ευρωπαϊκό Συμβούλιο για τους Πρόσφυγες και τους Εξόριστους </w:t>
      </w:r>
      <w:r w:rsidR="007E2844">
        <w:rPr>
          <w:sz w:val="18"/>
          <w:szCs w:val="18"/>
          <w:lang w:val="en-US"/>
        </w:rPr>
        <w:t xml:space="preserve">(ECRE), </w:t>
      </w:r>
      <w:r w:rsidR="007E2844">
        <w:rPr>
          <w:i/>
          <w:iCs/>
          <w:sz w:val="18"/>
          <w:szCs w:val="18"/>
          <w:lang w:val="en-US"/>
        </w:rPr>
        <w:t>Comments on the Asylum Procedure Regulation</w:t>
      </w:r>
      <w:r w:rsidR="007E2844">
        <w:rPr>
          <w:sz w:val="18"/>
          <w:szCs w:val="18"/>
          <w:lang w:val="en-US"/>
        </w:rPr>
        <w:t xml:space="preserve">, </w:t>
      </w:r>
      <w:r w:rsidR="007E2844">
        <w:rPr>
          <w:sz w:val="18"/>
          <w:szCs w:val="18"/>
          <w:lang w:val="el-GR"/>
        </w:rPr>
        <w:t xml:space="preserve">Ιούνιος 2024, διαθέσιμο </w:t>
      </w:r>
      <w:hyperlink r:id="rId2" w:history="1">
        <w:r w:rsidR="007E2844" w:rsidRPr="007E2844">
          <w:rPr>
            <w:rStyle w:val="Hyperlink"/>
            <w:sz w:val="18"/>
            <w:szCs w:val="18"/>
            <w:lang w:val="el-GR"/>
          </w:rPr>
          <w:t>εδώ</w:t>
        </w:r>
      </w:hyperlink>
      <w:r w:rsidR="007E2844">
        <w:rPr>
          <w:sz w:val="18"/>
          <w:szCs w:val="18"/>
          <w:lang w:val="el-GR"/>
        </w:rPr>
        <w:t xml:space="preserve">, </w:t>
      </w:r>
      <w:r w:rsidR="007E2844">
        <w:rPr>
          <w:i/>
          <w:iCs/>
          <w:sz w:val="18"/>
          <w:szCs w:val="18"/>
          <w:lang w:val="en-US"/>
        </w:rPr>
        <w:t>Comments on the Asylum and Migration Management Regulation</w:t>
      </w:r>
      <w:r w:rsidR="007E2844">
        <w:rPr>
          <w:sz w:val="18"/>
          <w:szCs w:val="18"/>
          <w:lang w:val="en-US"/>
        </w:rPr>
        <w:t xml:space="preserve">, </w:t>
      </w:r>
      <w:r w:rsidR="007E2844">
        <w:rPr>
          <w:sz w:val="18"/>
          <w:szCs w:val="18"/>
          <w:lang w:val="el-GR"/>
        </w:rPr>
        <w:t xml:space="preserve">Μάιος 2024, διαθέσιμο </w:t>
      </w:r>
      <w:hyperlink r:id="rId3" w:history="1">
        <w:r w:rsidR="007E2844" w:rsidRPr="007E2844">
          <w:rPr>
            <w:rStyle w:val="Hyperlink"/>
            <w:sz w:val="18"/>
            <w:szCs w:val="18"/>
            <w:lang w:val="el-GR"/>
          </w:rPr>
          <w:t>εδώ</w:t>
        </w:r>
      </w:hyperlink>
      <w:r w:rsidR="007E2844">
        <w:rPr>
          <w:sz w:val="18"/>
          <w:szCs w:val="18"/>
          <w:lang w:val="el-GR"/>
        </w:rPr>
        <w:t xml:space="preserve">, </w:t>
      </w:r>
      <w:r w:rsidR="007E2844">
        <w:rPr>
          <w:i/>
          <w:iCs/>
          <w:sz w:val="18"/>
          <w:szCs w:val="18"/>
          <w:lang w:val="en-US"/>
        </w:rPr>
        <w:t>Comments on the Crisis Regulation</w:t>
      </w:r>
      <w:r w:rsidR="007E2844">
        <w:rPr>
          <w:sz w:val="18"/>
          <w:szCs w:val="18"/>
          <w:lang w:val="en-US"/>
        </w:rPr>
        <w:t xml:space="preserve">, </w:t>
      </w:r>
      <w:r w:rsidR="007E2844">
        <w:rPr>
          <w:sz w:val="18"/>
          <w:szCs w:val="18"/>
          <w:lang w:val="el-GR"/>
        </w:rPr>
        <w:t xml:space="preserve">Μάιος 2024, διαθέσιμο </w:t>
      </w:r>
      <w:hyperlink r:id="rId4" w:history="1">
        <w:r w:rsidR="007E2844" w:rsidRPr="007E2844">
          <w:rPr>
            <w:rStyle w:val="Hyperlink"/>
            <w:sz w:val="18"/>
            <w:szCs w:val="18"/>
            <w:lang w:val="el-GR"/>
          </w:rPr>
          <w:t>εδώ</w:t>
        </w:r>
      </w:hyperlink>
      <w:r w:rsidR="007E2844">
        <w:rPr>
          <w:sz w:val="18"/>
          <w:szCs w:val="18"/>
          <w:lang w:val="el-GR"/>
        </w:rPr>
        <w:t>.</w:t>
      </w:r>
    </w:p>
  </w:footnote>
  <w:footnote w:id="3">
    <w:p w14:paraId="3A5E170D" w14:textId="77777777" w:rsidR="00920E19" w:rsidRPr="00A00E65" w:rsidRDefault="00920E19" w:rsidP="00920E19">
      <w:pPr>
        <w:pStyle w:val="FootnoteText"/>
        <w:ind w:left="567" w:hanging="567"/>
        <w:jc w:val="both"/>
        <w:rPr>
          <w:sz w:val="18"/>
          <w:szCs w:val="18"/>
          <w:lang w:val="en-US"/>
        </w:rPr>
      </w:pPr>
      <w:r w:rsidRPr="00A00E65">
        <w:rPr>
          <w:rStyle w:val="FootnoteReference"/>
          <w:sz w:val="18"/>
          <w:szCs w:val="18"/>
        </w:rPr>
        <w:footnoteRef/>
      </w:r>
      <w:r w:rsidRPr="00A00E65">
        <w:rPr>
          <w:sz w:val="18"/>
          <w:szCs w:val="18"/>
        </w:rPr>
        <w:t xml:space="preserve"> </w:t>
      </w:r>
      <w:r>
        <w:rPr>
          <w:sz w:val="18"/>
          <w:szCs w:val="18"/>
        </w:rPr>
        <w:tab/>
      </w:r>
      <w:r>
        <w:rPr>
          <w:sz w:val="18"/>
          <w:szCs w:val="18"/>
          <w:lang w:val="el-GR"/>
        </w:rPr>
        <w:t xml:space="preserve">Άρθρο </w:t>
      </w:r>
      <w:r>
        <w:rPr>
          <w:sz w:val="18"/>
          <w:szCs w:val="18"/>
          <w:lang w:val="en-US"/>
        </w:rPr>
        <w:t xml:space="preserve">75 </w:t>
      </w:r>
      <w:r>
        <w:rPr>
          <w:sz w:val="18"/>
          <w:szCs w:val="18"/>
          <w:lang w:val="el-GR"/>
        </w:rPr>
        <w:t>Κανονισμού διαδικασιών ασύλου, άρθρο 84 παρ. 3 Κανονισμού διαχείρισης</w:t>
      </w:r>
      <w:r w:rsidRPr="00A00E65">
        <w:rPr>
          <w:sz w:val="18"/>
          <w:szCs w:val="18"/>
          <w:lang w:val="el-GR"/>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207B64"/>
    <w:multiLevelType w:val="hybridMultilevel"/>
    <w:tmpl w:val="0220E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994292"/>
    <w:multiLevelType w:val="hybridMultilevel"/>
    <w:tmpl w:val="3B127C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41704C"/>
    <w:multiLevelType w:val="hybridMultilevel"/>
    <w:tmpl w:val="05C82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8750691">
    <w:abstractNumId w:val="1"/>
  </w:num>
  <w:num w:numId="2" w16cid:durableId="1356465511">
    <w:abstractNumId w:val="0"/>
  </w:num>
  <w:num w:numId="3" w16cid:durableId="8405059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33F"/>
    <w:rsid w:val="00031156"/>
    <w:rsid w:val="000312F6"/>
    <w:rsid w:val="000700D0"/>
    <w:rsid w:val="000C4FBA"/>
    <w:rsid w:val="000E0435"/>
    <w:rsid w:val="000F333F"/>
    <w:rsid w:val="000F4433"/>
    <w:rsid w:val="000F58FE"/>
    <w:rsid w:val="00115B28"/>
    <w:rsid w:val="0012124E"/>
    <w:rsid w:val="0015654D"/>
    <w:rsid w:val="00160D40"/>
    <w:rsid w:val="00184C90"/>
    <w:rsid w:val="00186733"/>
    <w:rsid w:val="001F1A51"/>
    <w:rsid w:val="00210BFE"/>
    <w:rsid w:val="0023627A"/>
    <w:rsid w:val="00264E46"/>
    <w:rsid w:val="002E5343"/>
    <w:rsid w:val="002F2DBD"/>
    <w:rsid w:val="00304CAB"/>
    <w:rsid w:val="003532F8"/>
    <w:rsid w:val="0035751F"/>
    <w:rsid w:val="003602EF"/>
    <w:rsid w:val="00366BDC"/>
    <w:rsid w:val="00383CF1"/>
    <w:rsid w:val="00393961"/>
    <w:rsid w:val="003A3577"/>
    <w:rsid w:val="003B0E29"/>
    <w:rsid w:val="003E0743"/>
    <w:rsid w:val="00437080"/>
    <w:rsid w:val="00475173"/>
    <w:rsid w:val="00475806"/>
    <w:rsid w:val="00480643"/>
    <w:rsid w:val="00481A8D"/>
    <w:rsid w:val="004D7023"/>
    <w:rsid w:val="00527E30"/>
    <w:rsid w:val="0053043D"/>
    <w:rsid w:val="00535F7D"/>
    <w:rsid w:val="00563170"/>
    <w:rsid w:val="00573B7C"/>
    <w:rsid w:val="00574332"/>
    <w:rsid w:val="005C1E9B"/>
    <w:rsid w:val="005C6871"/>
    <w:rsid w:val="005E764A"/>
    <w:rsid w:val="005F14BB"/>
    <w:rsid w:val="00613BD9"/>
    <w:rsid w:val="00680E7D"/>
    <w:rsid w:val="006962F9"/>
    <w:rsid w:val="006B6CBD"/>
    <w:rsid w:val="006B7330"/>
    <w:rsid w:val="006D606C"/>
    <w:rsid w:val="00703BCB"/>
    <w:rsid w:val="007467BD"/>
    <w:rsid w:val="00756540"/>
    <w:rsid w:val="007A5766"/>
    <w:rsid w:val="007B05C3"/>
    <w:rsid w:val="007B2D19"/>
    <w:rsid w:val="007E2844"/>
    <w:rsid w:val="00801B98"/>
    <w:rsid w:val="00802B6A"/>
    <w:rsid w:val="00814ED7"/>
    <w:rsid w:val="00825D01"/>
    <w:rsid w:val="0083686A"/>
    <w:rsid w:val="00896981"/>
    <w:rsid w:val="008C6825"/>
    <w:rsid w:val="008D4340"/>
    <w:rsid w:val="008E75B5"/>
    <w:rsid w:val="00920E19"/>
    <w:rsid w:val="00965F09"/>
    <w:rsid w:val="0096766D"/>
    <w:rsid w:val="00971768"/>
    <w:rsid w:val="009828F8"/>
    <w:rsid w:val="009C08D9"/>
    <w:rsid w:val="009C651D"/>
    <w:rsid w:val="009E3BC3"/>
    <w:rsid w:val="00A00E65"/>
    <w:rsid w:val="00A10600"/>
    <w:rsid w:val="00A33F4A"/>
    <w:rsid w:val="00A544E6"/>
    <w:rsid w:val="00A84294"/>
    <w:rsid w:val="00AF5521"/>
    <w:rsid w:val="00AF775A"/>
    <w:rsid w:val="00B048D3"/>
    <w:rsid w:val="00B07D7F"/>
    <w:rsid w:val="00B25C7D"/>
    <w:rsid w:val="00B2617B"/>
    <w:rsid w:val="00B3731E"/>
    <w:rsid w:val="00B378A4"/>
    <w:rsid w:val="00B6147C"/>
    <w:rsid w:val="00B71432"/>
    <w:rsid w:val="00B922F8"/>
    <w:rsid w:val="00B947A5"/>
    <w:rsid w:val="00BA4297"/>
    <w:rsid w:val="00BA6123"/>
    <w:rsid w:val="00BB3EB0"/>
    <w:rsid w:val="00BD7217"/>
    <w:rsid w:val="00C004FF"/>
    <w:rsid w:val="00C30C4C"/>
    <w:rsid w:val="00C41993"/>
    <w:rsid w:val="00C44588"/>
    <w:rsid w:val="00C470EC"/>
    <w:rsid w:val="00C61B5C"/>
    <w:rsid w:val="00C87950"/>
    <w:rsid w:val="00CC70C3"/>
    <w:rsid w:val="00CD0DE4"/>
    <w:rsid w:val="00D01D59"/>
    <w:rsid w:val="00D16F77"/>
    <w:rsid w:val="00D177DA"/>
    <w:rsid w:val="00D230FD"/>
    <w:rsid w:val="00D25847"/>
    <w:rsid w:val="00D670C8"/>
    <w:rsid w:val="00D857D0"/>
    <w:rsid w:val="00D94E4E"/>
    <w:rsid w:val="00DA718F"/>
    <w:rsid w:val="00E100AC"/>
    <w:rsid w:val="00E32774"/>
    <w:rsid w:val="00E625B1"/>
    <w:rsid w:val="00EA30D2"/>
    <w:rsid w:val="00EA710B"/>
    <w:rsid w:val="00EE2E92"/>
    <w:rsid w:val="00F0006E"/>
    <w:rsid w:val="00F47849"/>
    <w:rsid w:val="00F8657F"/>
    <w:rsid w:val="00FA32E4"/>
    <w:rsid w:val="00FC3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41B95"/>
  <w15:chartTrackingRefBased/>
  <w15:docId w15:val="{4EEE1EB9-3CE5-418D-BC57-FC8C544A3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Gothic" w:eastAsiaTheme="minorHAnsi" w:hAnsi="Century Gothic" w:cstheme="minorBidi"/>
        <w:kern w:val="2"/>
        <w:szCs w:val="22"/>
        <w:lang w:val="en-US"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0C8"/>
    <w:rPr>
      <w:lang w:val="en-GB"/>
    </w:rPr>
  </w:style>
  <w:style w:type="paragraph" w:styleId="Heading1">
    <w:name w:val="heading 1"/>
    <w:basedOn w:val="Normal"/>
    <w:next w:val="Normal"/>
    <w:link w:val="Heading1Char"/>
    <w:uiPriority w:val="9"/>
    <w:qFormat/>
    <w:rsid w:val="00D670C8"/>
    <w:pPr>
      <w:keepNext/>
      <w:keepLines/>
      <w:spacing w:before="360" w:after="80"/>
      <w:outlineLvl w:val="0"/>
    </w:pPr>
    <w:rPr>
      <w:rFonts w:asciiTheme="majorHAnsi" w:eastAsiaTheme="majorEastAsia" w:hAnsiTheme="majorHAnsi" w:cstheme="majorBidi"/>
      <w:color w:val="004C4C" w:themeColor="accent1" w:themeShade="BF"/>
      <w:sz w:val="40"/>
      <w:szCs w:val="40"/>
    </w:rPr>
  </w:style>
  <w:style w:type="paragraph" w:styleId="Heading2">
    <w:name w:val="heading 2"/>
    <w:basedOn w:val="Normal"/>
    <w:next w:val="Normal"/>
    <w:link w:val="Heading2Char"/>
    <w:uiPriority w:val="9"/>
    <w:semiHidden/>
    <w:unhideWhenUsed/>
    <w:qFormat/>
    <w:rsid w:val="00D670C8"/>
    <w:pPr>
      <w:keepNext/>
      <w:keepLines/>
      <w:spacing w:before="160" w:after="80"/>
      <w:outlineLvl w:val="1"/>
    </w:pPr>
    <w:rPr>
      <w:rFonts w:asciiTheme="majorHAnsi" w:eastAsiaTheme="majorEastAsia" w:hAnsiTheme="majorHAnsi" w:cstheme="majorBidi"/>
      <w:color w:val="004C4C" w:themeColor="accent1" w:themeShade="BF"/>
      <w:sz w:val="32"/>
      <w:szCs w:val="32"/>
    </w:rPr>
  </w:style>
  <w:style w:type="paragraph" w:styleId="Heading3">
    <w:name w:val="heading 3"/>
    <w:basedOn w:val="Normal"/>
    <w:next w:val="Normal"/>
    <w:link w:val="Heading3Char"/>
    <w:uiPriority w:val="9"/>
    <w:semiHidden/>
    <w:unhideWhenUsed/>
    <w:qFormat/>
    <w:rsid w:val="00D670C8"/>
    <w:pPr>
      <w:keepNext/>
      <w:keepLines/>
      <w:spacing w:before="160" w:after="80"/>
      <w:outlineLvl w:val="2"/>
    </w:pPr>
    <w:rPr>
      <w:rFonts w:asciiTheme="minorHAnsi" w:eastAsiaTheme="majorEastAsia" w:hAnsiTheme="minorHAnsi" w:cstheme="majorBidi"/>
      <w:color w:val="004C4C" w:themeColor="accent1" w:themeShade="BF"/>
      <w:sz w:val="28"/>
      <w:szCs w:val="28"/>
    </w:rPr>
  </w:style>
  <w:style w:type="paragraph" w:styleId="Heading4">
    <w:name w:val="heading 4"/>
    <w:basedOn w:val="Normal"/>
    <w:next w:val="Normal"/>
    <w:link w:val="Heading4Char"/>
    <w:uiPriority w:val="9"/>
    <w:semiHidden/>
    <w:unhideWhenUsed/>
    <w:qFormat/>
    <w:rsid w:val="00D670C8"/>
    <w:pPr>
      <w:keepNext/>
      <w:keepLines/>
      <w:spacing w:before="80" w:after="40"/>
      <w:outlineLvl w:val="3"/>
    </w:pPr>
    <w:rPr>
      <w:rFonts w:asciiTheme="minorHAnsi" w:eastAsiaTheme="majorEastAsia" w:hAnsiTheme="minorHAnsi" w:cstheme="majorBidi"/>
      <w:i/>
      <w:iCs/>
      <w:color w:val="004C4C" w:themeColor="accent1" w:themeShade="BF"/>
    </w:rPr>
  </w:style>
  <w:style w:type="paragraph" w:styleId="Heading5">
    <w:name w:val="heading 5"/>
    <w:basedOn w:val="Normal"/>
    <w:next w:val="Normal"/>
    <w:link w:val="Heading5Char"/>
    <w:uiPriority w:val="9"/>
    <w:semiHidden/>
    <w:unhideWhenUsed/>
    <w:qFormat/>
    <w:rsid w:val="00D670C8"/>
    <w:pPr>
      <w:keepNext/>
      <w:keepLines/>
      <w:spacing w:before="80" w:after="40"/>
      <w:outlineLvl w:val="4"/>
    </w:pPr>
    <w:rPr>
      <w:rFonts w:asciiTheme="minorHAnsi" w:eastAsiaTheme="majorEastAsia" w:hAnsiTheme="minorHAnsi" w:cstheme="majorBidi"/>
      <w:color w:val="004C4C" w:themeColor="accent1" w:themeShade="BF"/>
    </w:rPr>
  </w:style>
  <w:style w:type="paragraph" w:styleId="Heading6">
    <w:name w:val="heading 6"/>
    <w:basedOn w:val="Normal"/>
    <w:next w:val="Normal"/>
    <w:link w:val="Heading6Char"/>
    <w:uiPriority w:val="9"/>
    <w:semiHidden/>
    <w:unhideWhenUsed/>
    <w:qFormat/>
    <w:rsid w:val="00D670C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670C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670C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670C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70C8"/>
    <w:rPr>
      <w:rFonts w:asciiTheme="majorHAnsi" w:eastAsiaTheme="majorEastAsia" w:hAnsiTheme="majorHAnsi" w:cstheme="majorBidi"/>
      <w:color w:val="004C4C" w:themeColor="accent1" w:themeShade="BF"/>
      <w:sz w:val="40"/>
      <w:szCs w:val="40"/>
      <w:lang w:val="en-GB"/>
    </w:rPr>
  </w:style>
  <w:style w:type="character" w:customStyle="1" w:styleId="Heading2Char">
    <w:name w:val="Heading 2 Char"/>
    <w:basedOn w:val="DefaultParagraphFont"/>
    <w:link w:val="Heading2"/>
    <w:uiPriority w:val="9"/>
    <w:semiHidden/>
    <w:rsid w:val="00D670C8"/>
    <w:rPr>
      <w:rFonts w:asciiTheme="majorHAnsi" w:eastAsiaTheme="majorEastAsia" w:hAnsiTheme="majorHAnsi" w:cstheme="majorBidi"/>
      <w:color w:val="004C4C" w:themeColor="accent1" w:themeShade="BF"/>
      <w:sz w:val="32"/>
      <w:szCs w:val="32"/>
      <w:lang w:val="en-GB"/>
    </w:rPr>
  </w:style>
  <w:style w:type="character" w:customStyle="1" w:styleId="Heading3Char">
    <w:name w:val="Heading 3 Char"/>
    <w:basedOn w:val="DefaultParagraphFont"/>
    <w:link w:val="Heading3"/>
    <w:uiPriority w:val="9"/>
    <w:semiHidden/>
    <w:rsid w:val="00D670C8"/>
    <w:rPr>
      <w:rFonts w:asciiTheme="minorHAnsi" w:eastAsiaTheme="majorEastAsia" w:hAnsiTheme="minorHAnsi" w:cstheme="majorBidi"/>
      <w:color w:val="004C4C" w:themeColor="accent1" w:themeShade="BF"/>
      <w:sz w:val="28"/>
      <w:szCs w:val="28"/>
      <w:lang w:val="en-GB"/>
    </w:rPr>
  </w:style>
  <w:style w:type="character" w:customStyle="1" w:styleId="Heading4Char">
    <w:name w:val="Heading 4 Char"/>
    <w:basedOn w:val="DefaultParagraphFont"/>
    <w:link w:val="Heading4"/>
    <w:uiPriority w:val="9"/>
    <w:semiHidden/>
    <w:rsid w:val="00D670C8"/>
    <w:rPr>
      <w:rFonts w:asciiTheme="minorHAnsi" w:eastAsiaTheme="majorEastAsia" w:hAnsiTheme="minorHAnsi" w:cstheme="majorBidi"/>
      <w:i/>
      <w:iCs/>
      <w:color w:val="004C4C" w:themeColor="accent1" w:themeShade="BF"/>
      <w:lang w:val="en-GB"/>
    </w:rPr>
  </w:style>
  <w:style w:type="character" w:customStyle="1" w:styleId="Heading5Char">
    <w:name w:val="Heading 5 Char"/>
    <w:basedOn w:val="DefaultParagraphFont"/>
    <w:link w:val="Heading5"/>
    <w:uiPriority w:val="9"/>
    <w:semiHidden/>
    <w:rsid w:val="00D670C8"/>
    <w:rPr>
      <w:rFonts w:asciiTheme="minorHAnsi" w:eastAsiaTheme="majorEastAsia" w:hAnsiTheme="minorHAnsi" w:cstheme="majorBidi"/>
      <w:color w:val="004C4C" w:themeColor="accent1" w:themeShade="BF"/>
      <w:lang w:val="en-GB"/>
    </w:rPr>
  </w:style>
  <w:style w:type="character" w:customStyle="1" w:styleId="Heading6Char">
    <w:name w:val="Heading 6 Char"/>
    <w:basedOn w:val="DefaultParagraphFont"/>
    <w:link w:val="Heading6"/>
    <w:uiPriority w:val="9"/>
    <w:semiHidden/>
    <w:rsid w:val="00D670C8"/>
    <w:rPr>
      <w:rFonts w:asciiTheme="minorHAnsi" w:eastAsiaTheme="majorEastAsia" w:hAnsiTheme="minorHAnsi" w:cstheme="majorBidi"/>
      <w:i/>
      <w:iCs/>
      <w:color w:val="595959" w:themeColor="text1" w:themeTint="A6"/>
      <w:lang w:val="en-GB"/>
    </w:rPr>
  </w:style>
  <w:style w:type="character" w:customStyle="1" w:styleId="Heading7Char">
    <w:name w:val="Heading 7 Char"/>
    <w:basedOn w:val="DefaultParagraphFont"/>
    <w:link w:val="Heading7"/>
    <w:uiPriority w:val="9"/>
    <w:semiHidden/>
    <w:rsid w:val="00D670C8"/>
    <w:rPr>
      <w:rFonts w:asciiTheme="minorHAnsi" w:eastAsiaTheme="majorEastAsia" w:hAnsiTheme="minorHAnsi" w:cstheme="majorBidi"/>
      <w:color w:val="595959" w:themeColor="text1" w:themeTint="A6"/>
      <w:lang w:val="en-GB"/>
    </w:rPr>
  </w:style>
  <w:style w:type="character" w:customStyle="1" w:styleId="Heading8Char">
    <w:name w:val="Heading 8 Char"/>
    <w:basedOn w:val="DefaultParagraphFont"/>
    <w:link w:val="Heading8"/>
    <w:uiPriority w:val="9"/>
    <w:semiHidden/>
    <w:rsid w:val="00D670C8"/>
    <w:rPr>
      <w:rFonts w:asciiTheme="minorHAnsi" w:eastAsiaTheme="majorEastAsia" w:hAnsiTheme="minorHAnsi" w:cstheme="majorBidi"/>
      <w:i/>
      <w:iCs/>
      <w:color w:val="272727" w:themeColor="text1" w:themeTint="D8"/>
      <w:lang w:val="en-GB"/>
    </w:rPr>
  </w:style>
  <w:style w:type="character" w:customStyle="1" w:styleId="Heading9Char">
    <w:name w:val="Heading 9 Char"/>
    <w:basedOn w:val="DefaultParagraphFont"/>
    <w:link w:val="Heading9"/>
    <w:uiPriority w:val="9"/>
    <w:semiHidden/>
    <w:rsid w:val="00D670C8"/>
    <w:rPr>
      <w:rFonts w:asciiTheme="minorHAnsi" w:eastAsiaTheme="majorEastAsia" w:hAnsiTheme="minorHAnsi" w:cstheme="majorBidi"/>
      <w:color w:val="272727" w:themeColor="text1" w:themeTint="D8"/>
      <w:lang w:val="en-GB"/>
    </w:rPr>
  </w:style>
  <w:style w:type="paragraph" w:styleId="Title">
    <w:name w:val="Title"/>
    <w:basedOn w:val="Normal"/>
    <w:next w:val="Normal"/>
    <w:link w:val="TitleChar"/>
    <w:uiPriority w:val="10"/>
    <w:qFormat/>
    <w:rsid w:val="00D670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70C8"/>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D670C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70C8"/>
    <w:rPr>
      <w:rFonts w:asciiTheme="minorHAnsi" w:eastAsiaTheme="majorEastAsia" w:hAnsiTheme="minorHAnsi" w:cstheme="majorBidi"/>
      <w:color w:val="595959" w:themeColor="text1" w:themeTint="A6"/>
      <w:spacing w:val="15"/>
      <w:sz w:val="28"/>
      <w:szCs w:val="28"/>
      <w:lang w:val="en-GB"/>
    </w:rPr>
  </w:style>
  <w:style w:type="paragraph" w:styleId="ListParagraph">
    <w:name w:val="List Paragraph"/>
    <w:basedOn w:val="Normal"/>
    <w:uiPriority w:val="34"/>
    <w:qFormat/>
    <w:rsid w:val="00D670C8"/>
    <w:pPr>
      <w:ind w:left="720"/>
      <w:contextualSpacing/>
    </w:pPr>
  </w:style>
  <w:style w:type="paragraph" w:styleId="Quote">
    <w:name w:val="Quote"/>
    <w:basedOn w:val="Normal"/>
    <w:next w:val="Normal"/>
    <w:link w:val="QuoteChar"/>
    <w:uiPriority w:val="29"/>
    <w:qFormat/>
    <w:rsid w:val="00D670C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670C8"/>
    <w:rPr>
      <w:i/>
      <w:iCs/>
      <w:color w:val="404040" w:themeColor="text1" w:themeTint="BF"/>
      <w:lang w:val="en-GB"/>
    </w:rPr>
  </w:style>
  <w:style w:type="paragraph" w:styleId="IntenseQuote">
    <w:name w:val="Intense Quote"/>
    <w:basedOn w:val="Normal"/>
    <w:next w:val="Normal"/>
    <w:link w:val="IntenseQuoteChar"/>
    <w:uiPriority w:val="30"/>
    <w:qFormat/>
    <w:rsid w:val="00D670C8"/>
    <w:pPr>
      <w:pBdr>
        <w:top w:val="single" w:sz="4" w:space="10" w:color="004C4C" w:themeColor="accent1" w:themeShade="BF"/>
        <w:bottom w:val="single" w:sz="4" w:space="10" w:color="004C4C" w:themeColor="accent1" w:themeShade="BF"/>
      </w:pBdr>
      <w:spacing w:before="360" w:after="360"/>
      <w:ind w:left="864" w:right="864"/>
      <w:jc w:val="center"/>
    </w:pPr>
    <w:rPr>
      <w:i/>
      <w:iCs/>
      <w:color w:val="004C4C" w:themeColor="accent1" w:themeShade="BF"/>
    </w:rPr>
  </w:style>
  <w:style w:type="character" w:customStyle="1" w:styleId="IntenseQuoteChar">
    <w:name w:val="Intense Quote Char"/>
    <w:basedOn w:val="DefaultParagraphFont"/>
    <w:link w:val="IntenseQuote"/>
    <w:uiPriority w:val="30"/>
    <w:rsid w:val="00D670C8"/>
    <w:rPr>
      <w:i/>
      <w:iCs/>
      <w:color w:val="004C4C" w:themeColor="accent1" w:themeShade="BF"/>
      <w:lang w:val="en-GB"/>
    </w:rPr>
  </w:style>
  <w:style w:type="character" w:styleId="IntenseEmphasis">
    <w:name w:val="Intense Emphasis"/>
    <w:basedOn w:val="DefaultParagraphFont"/>
    <w:uiPriority w:val="21"/>
    <w:qFormat/>
    <w:rsid w:val="00D670C8"/>
    <w:rPr>
      <w:i/>
      <w:iCs/>
      <w:color w:val="004C4C" w:themeColor="accent1" w:themeShade="BF"/>
    </w:rPr>
  </w:style>
  <w:style w:type="character" w:styleId="IntenseReference">
    <w:name w:val="Intense Reference"/>
    <w:basedOn w:val="DefaultParagraphFont"/>
    <w:uiPriority w:val="32"/>
    <w:qFormat/>
    <w:rsid w:val="00D670C8"/>
    <w:rPr>
      <w:b/>
      <w:bCs/>
      <w:smallCaps/>
      <w:color w:val="004C4C" w:themeColor="accent1" w:themeShade="BF"/>
      <w:spacing w:val="5"/>
    </w:rPr>
  </w:style>
  <w:style w:type="paragraph" w:styleId="Revision">
    <w:name w:val="Revision"/>
    <w:hidden/>
    <w:uiPriority w:val="99"/>
    <w:semiHidden/>
    <w:rsid w:val="000F333F"/>
    <w:pPr>
      <w:spacing w:line="240" w:lineRule="auto"/>
    </w:pPr>
    <w:rPr>
      <w:lang w:val="en-GB"/>
    </w:rPr>
  </w:style>
  <w:style w:type="character" w:styleId="Hyperlink">
    <w:name w:val="Hyperlink"/>
    <w:basedOn w:val="DefaultParagraphFont"/>
    <w:uiPriority w:val="99"/>
    <w:unhideWhenUsed/>
    <w:rsid w:val="00AF775A"/>
    <w:rPr>
      <w:color w:val="0563C1" w:themeColor="hyperlink"/>
      <w:u w:val="single"/>
    </w:rPr>
  </w:style>
  <w:style w:type="paragraph" w:styleId="FootnoteText">
    <w:name w:val="footnote text"/>
    <w:basedOn w:val="Normal"/>
    <w:link w:val="FootnoteTextChar"/>
    <w:uiPriority w:val="99"/>
    <w:semiHidden/>
    <w:unhideWhenUsed/>
    <w:rsid w:val="00A00E65"/>
    <w:pPr>
      <w:spacing w:line="240" w:lineRule="auto"/>
    </w:pPr>
    <w:rPr>
      <w:szCs w:val="20"/>
    </w:rPr>
  </w:style>
  <w:style w:type="character" w:customStyle="1" w:styleId="FootnoteTextChar">
    <w:name w:val="Footnote Text Char"/>
    <w:basedOn w:val="DefaultParagraphFont"/>
    <w:link w:val="FootnoteText"/>
    <w:uiPriority w:val="99"/>
    <w:semiHidden/>
    <w:rsid w:val="00A00E65"/>
    <w:rPr>
      <w:szCs w:val="20"/>
      <w:lang w:val="en-GB"/>
    </w:rPr>
  </w:style>
  <w:style w:type="character" w:styleId="FootnoteReference">
    <w:name w:val="footnote reference"/>
    <w:basedOn w:val="DefaultParagraphFont"/>
    <w:uiPriority w:val="99"/>
    <w:semiHidden/>
    <w:unhideWhenUsed/>
    <w:rsid w:val="00A00E65"/>
    <w:rPr>
      <w:vertAlign w:val="superscript"/>
    </w:rPr>
  </w:style>
  <w:style w:type="character" w:styleId="UnresolvedMention">
    <w:name w:val="Unresolved Mention"/>
    <w:basedOn w:val="DefaultParagraphFont"/>
    <w:uiPriority w:val="99"/>
    <w:semiHidden/>
    <w:unhideWhenUsed/>
    <w:rsid w:val="007E28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cre.org/ecre-comments-paper-regulation-on-asylum-and-migration-management/" TargetMode="External"/><Relationship Id="rId2" Type="http://schemas.openxmlformats.org/officeDocument/2006/relationships/hyperlink" Target="https://ecre.org/ecre-comments-regulation-establishing-a-common-procedure-for-international-protection-in-the-eu/" TargetMode="External"/><Relationship Id="rId1" Type="http://schemas.openxmlformats.org/officeDocument/2006/relationships/hyperlink" Target="https://rsaegean.org/el/neo-symfono-gia-ti-metanastefsi-kai-to-asylo-2024/" TargetMode="External"/><Relationship Id="rId4" Type="http://schemas.openxmlformats.org/officeDocument/2006/relationships/hyperlink" Target="https://ecre.org/wp-content/uploads/2024/05/ECRE_Comments_Crisis-and-Force-Majeure-Regulation.pdf"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006666"/>
      </a:accent1>
      <a:accent2>
        <a:srgbClr val="31849B"/>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5EA2B-6710-4D06-96AA-5CB12536A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3</Pages>
  <Words>813</Words>
  <Characters>4636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Minos Mouzourakis</dc:creator>
  <cp:keywords/>
  <dc:description/>
  <cp:lastModifiedBy>Minos Mouzourakis</cp:lastModifiedBy>
  <cp:revision>119</cp:revision>
  <dcterms:created xsi:type="dcterms:W3CDTF">2024-09-10T07:23:00Z</dcterms:created>
  <dcterms:modified xsi:type="dcterms:W3CDTF">2024-09-14T11:24:00Z</dcterms:modified>
</cp:coreProperties>
</file>